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41" w:bottom="1216" w:left="109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(319) 211-01-14</w:t>
        <w:br/>
        <w:t>е-таП: 1о24й,Тах.ао\'.ги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Агентство государственного заказа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 Мира, 10, г. Красноярск, 660049</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ад/_рпет@таП.ги; ад/ акЫкук/'таПли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«Красноярская межрайонная детская больница № 4»</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Юшкова, 22 А, г. Красноярск, Красноярский край, 660113</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т/ака/@кгд4Ъ4.ги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Соколова Н.В.</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Клубная, д.57а, г. Ижевск, 426006</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^р. ^око1оуа.пта@уа. 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«ЭТП ТЭК-Торг»</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Тимура Фрунзе, д. 24, комн. 31 эт. 3, г.</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Москва, 119034</w:t>
      </w:r>
    </w:p>
    <w:p>
      <w:pPr>
        <w:pStyle w:val="Style13"/>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4" w:right="844" w:bottom="1217" w:left="1140" w:header="0" w:footer="3" w:gutter="0"/>
          <w:cols w:num="2" w:space="720" w:equalWidth="0">
            <w:col w:w="4090" w:space="1171"/>
            <w:col w:w="4656"/>
          </w:cols>
          <w:noEndnote/>
          <w:rtlGutter w:val="0"/>
          <w:docGrid w:linePitch="360"/>
        </w:sectPr>
      </w:pPr>
      <w:r>
        <w:rPr>
          <w:color w:val="000000"/>
          <w:spacing w:val="0"/>
          <w:w w:val="100"/>
          <w:position w:val="0"/>
          <w:shd w:val="clear" w:color="auto" w:fill="auto"/>
          <w:lang w:val="ru-RU" w:eastAsia="ru-RU" w:bidi="ru-RU"/>
        </w:rPr>
        <w:t>Извещение № 0119200000123004791</w:t>
      </w:r>
    </w:p>
    <w:p>
      <w:pPr>
        <w:widowControl w:val="0"/>
        <w:spacing w:line="113" w:lineRule="exact"/>
        <w:rPr>
          <w:sz w:val="9"/>
          <w:szCs w:val="9"/>
        </w:rPr>
      </w:pPr>
    </w:p>
    <w:p>
      <w:pPr>
        <w:widowControl w:val="0"/>
        <w:spacing w:line="1" w:lineRule="exact"/>
        <w:sectPr>
          <w:footnotePr>
            <w:pos w:val="pageBottom"/>
            <w:numFmt w:val="decimal"/>
            <w:numRestart w:val="continuous"/>
          </w:footnotePr>
          <w:type w:val="continuous"/>
          <w:pgSz w:w="11900" w:h="16840"/>
          <w:pgMar w:top="1356" w:right="0" w:bottom="1314"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024/06/106-1140/2023</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6213475</wp:posOffset>
                </wp:positionH>
                <wp:positionV relativeFrom="paragraph">
                  <wp:posOffset>12700</wp:posOffset>
                </wp:positionV>
                <wp:extent cx="984250" cy="231775"/>
                <wp:wrapSquare wrapText="left"/>
                <wp:docPr id="10" name="Shape 10"/>
                <a:graphic xmlns:a="http://schemas.openxmlformats.org/drawingml/2006/main">
                  <a:graphicData uri="http://schemas.microsoft.com/office/word/2010/wordprocessingShape">
                    <wps:wsp>
                      <wps:cNvSpPr txBox="1"/>
                      <wps:spPr>
                        <a:xfrm>
                          <a:ext cx="984250" cy="2317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6" type="#_x0000_t202" style="position:absolute;margin-left:489.25pt;margin-top:1.pt;width:77.5pt;height:18.2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hd w:val="clear" w:color="auto" w:fill="auto"/>
          <w:lang w:val="ru-RU" w:eastAsia="ru-RU" w:bidi="ru-RU"/>
        </w:rPr>
        <w:t>2 мая 2023 года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 Временно исполняющий обязанности заместителя руководителя управления - начальника аналитического отдела, начальник контрольного отдела Кириллова А.А., члены Комиссии - заместитель начальника отдела М.А. Грицай, главный специалист-эксперт Е.О. Хорышев (далее - Комиссия), рассмотрев жалобу Индивидуального предпринимателя Соколовой Нины Валерьевны (далее - Податель жалобы) на действия аукционной комиссии Краевого государственного бюджетного учреждения здравоохранения «Красноярская межрайонная детская больница № 4» (далее - Заказчик),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электронного аукциона «ЭА № 5039/23 «Поставка с доставкой электротоваров» с извещением № 0119200000123004791 (далее - Электронный аукцион), размещенного на электронной площадке Акционерного общества «ЭТП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Красноярского УФАС России поступила жалоба на действия субъектов контроля при проведении Электронного аукциона.</w:t>
      </w:r>
    </w:p>
    <w:p>
      <w:pPr>
        <w:pStyle w:val="Style13"/>
        <w:keepNext w:val="0"/>
        <w:keepLines w:val="0"/>
        <w:widowControl w:val="0"/>
        <w:shd w:val="clear" w:color="auto" w:fill="auto"/>
        <w:bidi w:val="0"/>
        <w:spacing w:before="0" w:after="180" w:line="240" w:lineRule="auto"/>
        <w:ind w:left="0" w:right="0" w:firstLine="700"/>
        <w:jc w:val="both"/>
      </w:pPr>
      <w:r>
        <w:rPr>
          <w:color w:val="000000"/>
          <w:spacing w:val="0"/>
          <w:w w:val="100"/>
          <w:position w:val="0"/>
          <w:shd w:val="clear" w:color="auto" w:fill="auto"/>
          <w:lang w:val="ru-RU" w:eastAsia="ru-RU" w:bidi="ru-RU"/>
        </w:rPr>
        <w:t>Существо жалобы: нарушение аукционной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аукциона.</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принята к рассмотрению.</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Заказчика, Уполномоченного органа,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рассмотрении жалобы по существу присутствовал представитель Уполномоченного органа. Податель жалобы, Заказчик явку своих представителей не обеспечили.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доводов жалобы следует, что заявка Подателя жалобы была неправомерно отклонена, а заявка победителя Электронного аукциона неправомерно признана соответствующей требованиям извещения.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возникшей у Заказчика потребностью субъектами контроля были совершены действия по определению поставщика (подрядчика, исполнителя) путем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1 части 2 статьи 42 устанавливает, что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1 части 1 статьи 33 Закона о контрактной системе устанавливает,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2 части 1 статьи 33 Закона о контрактной системе устанавливает, что при составлении описания объекта закупки надлежит использовать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 2 статьи 33 Закона о контрактной системе устанавливает, что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356" w:right="541" w:bottom="1314" w:left="1097" w:header="0" w:footer="3" w:gutter="0"/>
          <w:cols w:space="720"/>
          <w:noEndnote/>
          <w:rtlGutter w:val="0"/>
          <w:docGrid w:linePitch="360"/>
        </w:sectPr>
      </w:pPr>
      <w:r>
        <w:rPr>
          <w:color w:val="000000"/>
          <w:spacing w:val="0"/>
          <w:w w:val="100"/>
          <w:position w:val="0"/>
          <w:shd w:val="clear" w:color="auto" w:fill="auto"/>
          <w:lang w:val="ru-RU" w:eastAsia="ru-RU" w:bidi="ru-RU"/>
        </w:rPr>
        <w:t>Проанализировав описание объекта закупки, Комиссия установила, что</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потребностью Заказчика является поставка товаров:</w:t>
      </w:r>
    </w:p>
    <w:tbl>
      <w:tblPr>
        <w:tblOverlap w:val="never"/>
        <w:jc w:val="center"/>
        <w:tblLayout w:type="fixed"/>
      </w:tblPr>
      <w:tblGrid>
        <w:gridCol w:w="514"/>
        <w:gridCol w:w="1699"/>
        <w:gridCol w:w="1603"/>
        <w:gridCol w:w="5376"/>
        <w:gridCol w:w="509"/>
        <w:gridCol w:w="514"/>
      </w:tblGrid>
      <w:tr>
        <w:trPr>
          <w:trHeight w:val="2050"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Код (ОКПД2) ОК 034-2014; код позиции КТРУ</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Функциональные, технические и качественные характеристики товара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14" w:lineRule="auto"/>
              <w:ind w:left="0" w:right="0" w:firstLine="0"/>
              <w:jc w:val="center"/>
              <w:rPr>
                <w:sz w:val="22"/>
                <w:szCs w:val="22"/>
              </w:rPr>
            </w:pPr>
            <w:r>
              <w:rPr>
                <w:color w:val="000000"/>
                <w:spacing w:val="0"/>
                <w:w w:val="100"/>
                <w:position w:val="0"/>
                <w:sz w:val="22"/>
                <w:szCs w:val="22"/>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Кол- во</w:t>
            </w:r>
          </w:p>
        </w:tc>
      </w:tr>
      <w:tr>
        <w:trPr>
          <w:trHeight w:val="288"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1</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3</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4</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5</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6</w:t>
            </w:r>
          </w:p>
        </w:tc>
      </w:tr>
      <w:tr>
        <w:trPr>
          <w:trHeight w:val="4474" w:hRule="exact"/>
        </w:trPr>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27.40.25.123</w:t>
              <w:softHyphen/>
              <w:t>00000004</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Светильник светодиодный внутреннего освещения</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Вид светильника: Потолочный</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Вторая характеристическая цифра обозначения степени защиты, не менее: 2</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Высота светильника: &lt; 50 Миллиметр.</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Диммируемый светильник: нет.</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Длина светильника: &gt; 500 и &lt; 600 Миллиметр.</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Класс защиты от электрического тока: I Коррелированная цветовая температура, тах &lt; 4500 Кельвин.</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Коррелированная цветовая температура, тт &gt; 4000 Кельвин.</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Материал корпуса светильника: Сталь.</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Мощность: &gt; 30 и &lt; 35 Ватт.</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Световой поток: &gt; 3000 и &lt; 4000 Люмен.</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Форма: Квадратная.</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Ширина светильника: &gt; 300 и &lt; 600 Миллиметр.</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Шт.</w:t>
            </w:r>
          </w:p>
        </w:tc>
        <w:tc>
          <w:tcPr>
            <w:tcBorders>
              <w:top w:val="single" w:sz="4"/>
              <w:left w:val="single" w:sz="4"/>
              <w:bottom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30</w:t>
            </w:r>
          </w:p>
        </w:tc>
      </w:tr>
    </w:tbl>
    <w:p>
      <w:pPr>
        <w:widowControl w:val="0"/>
        <w:spacing w:after="219" w:line="1" w:lineRule="exact"/>
      </w:pP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 «а» пункта 2 части 1 статьи 43 Закона о контрактной системе устанавливает, что для участия в конкурентном способе заявка на участие в закупке, если иное не предусмотрено Законом о контрактной системе, должна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Протокол подведения итогов определения поставщика (подрядчика, исполнителя) от 18.04.2023 №ИЭА1, Комиссия установила, что заявка Подателя жалобы была отклонена со следующим обоснованием: «Содержание заявки участника аукциона не соответствует требованиям, установленным извещением об аукционе: участником закупки не конкретизированы значения характеристик «Световой поток», «Ширина светильника» (участник указал «Световой поток: &gt; 3000 и &lt; 4000 Люмен», Ширина светильника: &gt; 300 и &lt; 600 Миллиметр), что не соответствует Извещению об аукционе в электронной форме, Требованиям к содержанию и составу заявки, Инструкции по заполнению заявки»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заявку Подателя жалобы, Комиссия установила, что заявка Подателя жалобы содержит конкретные значения предлагаемого к поставке товара, соответствующие описанию объекта закупки, ввиду чего Комиссия приходит к выводу о том, что заявка Подателя жалобы соответствует требованиям извещения.</w:t>
      </w:r>
    </w:p>
    <w:p>
      <w:pPr>
        <w:pStyle w:val="Style13"/>
        <w:keepNext w:val="0"/>
        <w:keepLines w:val="0"/>
        <w:widowControl w:val="0"/>
        <w:shd w:val="clear" w:color="auto" w:fill="auto"/>
        <w:bidi w:val="0"/>
        <w:spacing w:before="0" w:after="0" w:line="288"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676" w:right="531" w:bottom="783" w:left="1101" w:header="0" w:footer="355"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Часть 3 статьи 14 Закона о контрактной системе устанавливает, что в целях защиты основ конституционного строя, обеспечения обороны страны и безопасности государства, </w:t>
      </w:r>
      <w:r>
        <w:rPr>
          <w:color w:val="000000"/>
          <w:spacing w:val="0"/>
          <w:w w:val="100"/>
          <w:position w:val="0"/>
          <w:sz w:val="24"/>
          <w:szCs w:val="24"/>
          <w:shd w:val="clear" w:color="auto" w:fill="auto"/>
          <w:lang w:val="ru-RU" w:eastAsia="ru-RU" w:bidi="ru-RU"/>
        </w:rPr>
        <w:t>2023-7944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3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№878) устанавливает, что при осуществлении закупок радиоэлектронной продукции, включенной в перечень, за исключением установленного пунктом 3(1) Постановления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контактный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3(2) Постановления №878 устанавливает, что, за исключением случаев, установленных Постановлением №878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Пункт 3(3) Постановления №878 устанавливает, что для подтверждения соответствия радиоэлектронной продукции требованиям, предусмотренным пунктом 3(2) Постановления №878 , участник закупки указывает (декларирует) в составе заявки на участие в закупке номер реестровой записи из реестра или евразийского реестра </w:t>
      </w:r>
      <w:r>
        <w:rPr>
          <w:color w:val="000000"/>
          <w:spacing w:val="0"/>
          <w:w w:val="100"/>
          <w:position w:val="0"/>
          <w:shd w:val="clear" w:color="auto" w:fill="auto"/>
          <w:lang w:val="ru-RU" w:eastAsia="ru-RU" w:bidi="ru-RU"/>
        </w:rPr>
        <w:t>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из пункта 1 Постановление №878 следует, что под реестром в рамках Постановления №878 понимается единый реестр российской радиоэлектронной продукции.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Постановление №878, Комиссия установила, что закупаемый Заказчиком товар включен в перечень, установленный Постановлением №878, ввиду чего Заказчиком правомерно были условия допуска согласно Постановлению №878 при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заявку Победителя Электронного аукциона, Комиссия установила, что победителем Электронного аукциона был предложен к поставке товар, соответствующий, реестровой записи № 4907\10\2022, реестровому номеру РЭ-10244/22.</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Реестр радиоэлектронной продукции, Комиссия установила, что товару с реестровым номером РЭ-10244/22, реестровой записи № 4907\10\2022 соответствует товар «Светодиодная панель СИАХ/ЕХ КР^-4000-32-40-0».</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сведений, представленных в реестре радиоэлектронной продукции следует, что у указанного товара присутствует характеристика «Степень защиты: 1Р40».</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заявки победителя Электронного аукциона следует, что им был предложен товар с характеристикой «Вторая характеристическая цифра обозначения степени защиты: 2».</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Указанное обстоятельство свидетельствует о том, что победитель Электронного аукциона не подтвердил страну происхождения товара, ввиду чего его заявка подлежала отклонению в силу пункта 3 Постановления №878, поскольку установлено, что иные участники аукциона подтвердили страну происхождения товара, доказательств обратного в материалы жалобы не представлено.</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письменных пояснений Уполномоченного органа следует, что Уполномоченный орган согласен с доводами жалобы. Из пояснений следует, что сведения об отклонении и допуске вышеуказанных участков Электронного аукциона были ошибочно внесены в протокол подведения итогов. Представитель Уполномоченного органа указанное подтвердил, указав, что членами аукционной комиссии было принято решение признать заявку Подателя жалобы соответствующей требованиям извещения, отклонить заявку победителя Электронного аукциона.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приходит к выводу о том, что аукционной комиссей было принято правоменое решение о признании заявки Подателя жалобы соответвующей требоаниям извещения, а заявки победетиля Электронного аукицона — не соответвующей, однако должностынм лицом Уполномоченным органом была допушена техническая ошибка при формировани итогового протокола.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изложенного, Комиссия признает доводы жалобы необоснованными.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Проведя внеплановую проверку, Комиссия пришла к следующим выводам.</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пункта 2 части 5 статьи 49 Закона о контрактной системе следует,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а после подписания членами комиссии по осуществлению закупок такого протокола</w:t>
        <w:br w:type="page"/>
      </w:r>
      <w:r>
        <w:rPr>
          <w:color w:val="000000"/>
          <w:spacing w:val="0"/>
          <w:w w:val="100"/>
          <w:position w:val="0"/>
          <w:shd w:val="clear" w:color="auto" w:fill="auto"/>
          <w:lang w:val="ru-RU" w:eastAsia="ru-RU" w:bidi="ru-RU"/>
        </w:rPr>
        <w:t>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Обстоятельство размещения протокола подведения итогов определения поставщика (подрядчика, исполнителя), который не соответствует фактическому решению членов аукционной комиссии свидетельствует о нарушении требований пункта 2 части 5 статьи 49.</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сведений, представленных в Единой информационной системе в сфере закупок, следует, что организация, осуществляющей размещение вышеуказанного протокола подведения итогов Электронного аукциона осуществляет Уполномоченный орган.</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w:t>
      </w:r>
    </w:p>
    <w:p>
      <w:pPr>
        <w:pStyle w:val="Style13"/>
        <w:keepNext w:val="0"/>
        <w:keepLines w:val="0"/>
        <w:widowControl w:val="0"/>
        <w:numPr>
          <w:ilvl w:val="0"/>
          <w:numId w:val="1"/>
        </w:numPr>
        <w:shd w:val="clear" w:color="auto" w:fill="auto"/>
        <w:tabs>
          <w:tab w:pos="939"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жалобу ИП Соколовой Н.В. необоснованной.</w:t>
      </w:r>
    </w:p>
    <w:p>
      <w:pPr>
        <w:pStyle w:val="Style13"/>
        <w:keepNext w:val="0"/>
        <w:keepLines w:val="0"/>
        <w:widowControl w:val="0"/>
        <w:numPr>
          <w:ilvl w:val="0"/>
          <w:numId w:val="1"/>
        </w:numPr>
        <w:shd w:val="clear" w:color="auto" w:fill="auto"/>
        <w:tabs>
          <w:tab w:pos="9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Уполномоченный орган нарушившим требования пункта 2 части 5 статьи 49 Закона о контрактной системе.</w:t>
      </w:r>
    </w:p>
    <w:p>
      <w:pPr>
        <w:pStyle w:val="Style13"/>
        <w:keepNext w:val="0"/>
        <w:keepLines w:val="0"/>
        <w:widowControl w:val="0"/>
        <w:numPr>
          <w:ilvl w:val="0"/>
          <w:numId w:val="1"/>
        </w:numPr>
        <w:shd w:val="clear" w:color="auto" w:fill="auto"/>
        <w:tabs>
          <w:tab w:pos="9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Уполномоченному органу предписание об устранении нарушений законодательства о контрактной системе, прав и законных интересов участников закупки путем публикации итогового протокола, соответствующего решению членов аукционной комиссии .</w:t>
      </w:r>
    </w:p>
    <w:p>
      <w:pPr>
        <w:pStyle w:val="Style13"/>
        <w:keepNext w:val="0"/>
        <w:keepLines w:val="0"/>
        <w:widowControl w:val="0"/>
        <w:numPr>
          <w:ilvl w:val="0"/>
          <w:numId w:val="1"/>
        </w:numPr>
        <w:shd w:val="clear" w:color="auto" w:fill="auto"/>
        <w:tabs>
          <w:tab w:pos="9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Передать материалы по жалобе и результатам внеплановой проверки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701675</wp:posOffset>
                </wp:positionH>
                <wp:positionV relativeFrom="paragraph">
                  <wp:posOffset>12700</wp:posOffset>
                </wp:positionV>
                <wp:extent cx="1731010" cy="609600"/>
                <wp:wrapSquare wrapText="right"/>
                <wp:docPr id="14" name="Shape 14"/>
                <a:graphic xmlns:a="http://schemas.openxmlformats.org/drawingml/2006/main">
                  <a:graphicData uri="http://schemas.microsoft.com/office/word/2010/wordprocessingShape">
                    <wps:wsp>
                      <wps:cNvSpPr txBox="1"/>
                      <wps:spPr>
                        <a:xfrm>
                          <a:ext cx="1731010" cy="609600"/>
                        </a:xfrm>
                        <a:prstGeom prst="rect"/>
                        <a:noFill/>
                      </wps:spPr>
                      <wps:txbx>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40" type="#_x0000_t202" style="position:absolute;margin-left:55.25pt;margin-top:1.pt;width:136.30000000000001pt;height:48.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А.А. Кириллова</w:t>
      </w:r>
    </w:p>
    <w:p>
      <w:pPr>
        <w:pStyle w:val="Style13"/>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Грицай</w:t>
      </w:r>
    </w:p>
    <w:p>
      <w:pPr>
        <w:pStyle w:val="Style13"/>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Е.О. Хорышев</w:t>
      </w:r>
    </w:p>
    <w:sectPr>
      <w:headerReference w:type="default" r:id="rId15"/>
      <w:footerReference w:type="default" r:id="rId16"/>
      <w:footnotePr>
        <w:pos w:val="pageBottom"/>
        <w:numFmt w:val="decimal"/>
        <w:numRestart w:val="continuous"/>
      </w:footnotePr>
      <w:pgSz w:w="11900" w:h="16840"/>
      <w:pgMar w:top="1671" w:right="542" w:bottom="1349"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723265</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wps:txbx>
                    <wps:bodyPr wrap="none" lIns="0" tIns="0" rIns="0" bIns="0">
                      <a:spAutoFit/>
                    </wps:bodyPr>
                  </wps:wsp>
                </a:graphicData>
              </a:graphic>
            </wp:anchor>
          </w:drawing>
        </mc:Choice>
        <mc:Fallback>
          <w:pict>
            <v:shape id="_x0000_s1031" type="#_x0000_t202" style="position:absolute;margin-left:56.950000000000003pt;margin-top:788.70000000000005pt;width:51.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723265</wp:posOffset>
              </wp:positionH>
              <wp:positionV relativeFrom="page">
                <wp:posOffset>10016490</wp:posOffset>
              </wp:positionV>
              <wp:extent cx="648970" cy="100330"/>
              <wp:wrapNone/>
              <wp:docPr id="18" name="Shape 18"/>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wps:txbx>
                    <wps:bodyPr wrap="none" lIns="0" tIns="0" rIns="0" bIns="0">
                      <a:spAutoFit/>
                    </wps:bodyPr>
                  </wps:wsp>
                </a:graphicData>
              </a:graphic>
            </wp:anchor>
          </w:drawing>
        </mc:Choice>
        <mc:Fallback>
          <w:pict>
            <v:shape id="_x0000_s1044" type="#_x0000_t202" style="position:absolute;margin-left:56.950000000000003pt;margin-top:788.70000000000005pt;width:51.100000000000001pt;height:7.9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2023-7944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3930015</wp:posOffset>
              </wp:positionH>
              <wp:positionV relativeFrom="page">
                <wp:posOffset>694055</wp:posOffset>
              </wp:positionV>
              <wp:extent cx="64135" cy="106680"/>
              <wp:wrapNone/>
              <wp:docPr id="3" name="Shape 3"/>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44999999999999pt;margin-top:54.649999999999999pt;width:5.0499999999999998pt;height:8.4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3930015</wp:posOffset>
              </wp:positionH>
              <wp:positionV relativeFrom="page">
                <wp:posOffset>759460</wp:posOffset>
              </wp:positionV>
              <wp:extent cx="54610" cy="106680"/>
              <wp:wrapNone/>
              <wp:docPr id="12" name="Shape 12"/>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44999999999999pt;margin-top:59.800000000000004pt;width:4.2999999999999998pt;height:8.4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3930015</wp:posOffset>
              </wp:positionH>
              <wp:positionV relativeFrom="page">
                <wp:posOffset>694055</wp:posOffset>
              </wp:positionV>
              <wp:extent cx="64135" cy="106680"/>
              <wp:wrapNone/>
              <wp:docPr id="16" name="Shape 16"/>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309.44999999999999pt;margin-top:54.649999999999999pt;width:5.0499999999999998pt;height:8.40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17">
    <w:name w:val="Подпись к таблице"/>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Федеральный закон от 05.04.2013 N 44-ФЗ(ред. от 28.12.2022)"О контрактной системе в сфере закупок товаров, работ, услуг для обеспечения государственных и муниципальных нужд"(с изм. и доп., вступ. в силу с 01.04.2023)</dc:title>
  <dc:subject/>
  <dc:creator/>
  <cp:keywords/>
</cp:coreProperties>
</file>