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mc:AlternateContent>
          <mc:Choice Requires="wps">
            <w:drawing>
              <wp:anchor distT="0" distB="1764665" distL="510540" distR="324485" simplePos="0" relativeHeight="125829378" behindDoc="0" locked="0" layoutInCell="1" allowOverlap="1">
                <wp:simplePos x="0" y="0"/>
                <wp:positionH relativeFrom="page">
                  <wp:posOffset>1121410</wp:posOffset>
                </wp:positionH>
                <wp:positionV relativeFrom="paragraph">
                  <wp:posOffset>152400</wp:posOffset>
                </wp:positionV>
                <wp:extent cx="1840865" cy="2863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88.299999999999997pt;margin-top:12.pt;width:144.95000000000002pt;height:22.550000000000001pt;z-index:-125829375;mso-wrap-distance-left:40.200000000000003pt;mso-wrap-distance-right:25.550000000000001pt;mso-wrap-distance-bottom:138.95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84175" distB="1221740" distL="312420" distR="114300" simplePos="0" relativeHeight="125829380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536575</wp:posOffset>
                </wp:positionV>
                <wp:extent cx="2249170" cy="44513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445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2.700000000000003pt;margin-top:42.25pt;width:177.09999999999999pt;height:35.050000000000004pt;z-index:-125829373;mso-wrap-distance-left:24.600000000000001pt;mso-wrap-distance-top:30.25pt;mso-wrap-distance-right:9.pt;mso-wrap-distance-bottom:96.20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38530" distB="697865" distL="486410" distR="299720" simplePos="0" relativeHeight="125829382" behindDoc="0" locked="0" layoutInCell="1" allowOverlap="1">
                <wp:simplePos x="0" y="0"/>
                <wp:positionH relativeFrom="page">
                  <wp:posOffset>1097280</wp:posOffset>
                </wp:positionH>
                <wp:positionV relativeFrom="paragraph">
                  <wp:posOffset>1090930</wp:posOffset>
                </wp:positionV>
                <wp:extent cx="1889760" cy="41465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(319) 211-01-14</w:t>
                              <w:br/>
                              <w:t>е-таП: 1о24@Й8.§оу.ги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6.400000000000006pt;margin-top:85.900000000000006pt;width:148.80000000000001pt;height:32.649999999999999pt;z-index:-125829371;mso-wrap-distance-left:38.300000000000004pt;mso-wrap-distance-top:73.900000000000006pt;mso-wrap-distance-right:23.600000000000001pt;mso-wrap-distance-bottom:54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(319) 211-01-14</w:t>
                        <w:br/>
                        <w:t>е-таП: 1о24@Й8.§оу.ги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898650" distB="0" distL="114300" distR="2253615" simplePos="0" relativeHeight="125829384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2051050</wp:posOffset>
                </wp:positionV>
                <wp:extent cx="307975" cy="15240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00000000000001pt;margin-top:161.5pt;width:24.25pt;height:12.pt;z-index:-125829369;mso-wrap-distance-left:9.pt;mso-wrap-distance-top:149.5pt;mso-wrap-distance-right:177.45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«Красноярская межрайонная клиническая больница № 4»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Кутузова, 71, г. Красноярск, 660094 кга§те4@кткЪ4.ги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Агентство государственного заказа Красноярского края пр. Мира, 10, г. Красноярск, 660049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ад/_рпет@таП.ги; ад/ с1иЬп)ука@таП.1Т1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«МедЛаб»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Героев Хасана, д.76, г. Пермь, 614025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1еп4ег 1@ткоГагтрегт.ги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«ЭТП Газпромбанк» ул. Якиманская набережная, 2, г. Москва, 119180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0119200000123005765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024/06/106-1140/2023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в сфере закупок</w:t>
        <w:br/>
        <w:t>товаров, работ, услуг для обеспечения государственных и муниципальных нужд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6214745</wp:posOffset>
                </wp:positionH>
                <wp:positionV relativeFrom="paragraph">
                  <wp:posOffset>12700</wp:posOffset>
                </wp:positionV>
                <wp:extent cx="98425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9.35000000000002pt;margin-top:1.pt;width:77.5pt;height:18.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мая 2023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Временно исполняющий обязанности заместителя руководителя управления - начальника аналитического отдела, начальник контрольного отдела Кириллова А.А., члены Комиссии - заместитель начальника отдела М.А. Грицай, главный специалист-эксперт Е.О. Хорышев (далее - Комиссия), рассмотрев жалобу Индивидуального предпринимателя Соколовой Нины Валерьевны (далее - Податель жалобы) на действия аукционной комиссии Краевого государственного бюджетного учреждения здравоохранения «Красноярская межрайонная детская больница № 4» (далее - Заказчик), Агентства государственного заказа Красноярского края (далее - Уполномоченный орган) при определении поставщика (подрядчика, исполнителя) путем проведения электронного аукциона «ЭА № 5039/23 «Поставка с доставкой электротоваров» с извещением № 0119200000123004791 (далее - Электронный аукцион), размещенного на электронной площадке Акционерного общества «ЭТП ТЭК-Торг»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комиссии, Оператору электронной площадки отменить протокол подведения итогов определения поставщика (подрядчика, исполнителя) от 27.04.2023 №ИЭА1;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отменить процедуру заключения контракта по результатам проведения Электронного аукциона.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органу, Оператору электронной площадки разместить протокол подведения итогов соответствующий решению членов аукционной комиссии и выводам, изложенным в решении Комиссии Красноярского УФАС России по делу 024/06/106- 1140/2023.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 продолжить дальнейшую процедуру определения поставщика (подрядчика, исполнителя)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21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предписание необходимо исполнить в срок до 19.05.2023;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исполнения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37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А.А. Кириллова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76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46" w:right="539" w:bottom="1258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Исп.Хорышев Е.О.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тел.(391) 211-01-44,вн. 024-107</w:t>
      </w:r>
    </w:p>
    <w:sectPr>
      <w:footnotePr>
        <w:pos w:val="pageBottom"/>
        <w:numFmt w:val="decimal"/>
        <w:numRestart w:val="continuous"/>
      </w:footnotePr>
      <w:pgSz w:w="11900" w:h="16840"/>
      <w:pgMar w:top="1119" w:right="541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10033000</wp:posOffset>
              </wp:positionV>
              <wp:extent cx="64008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2023-8033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90.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2023-8033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9841230</wp:posOffset>
              </wp:positionV>
              <wp:extent cx="64008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2023-8033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74.89999999999998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2023-8033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4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6">
    <w:name w:val="Основной текст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