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after="199" w:line="1" w:lineRule="exact"/>
      </w:pPr>
    </w:p>
    <w:p>
      <w:pPr>
        <w:widowControl w:val="0"/>
        <w:jc w:val="center"/>
        <w:rPr>
          <w:sz w:val="2"/>
          <w:szCs w:val="2"/>
        </w:rPr>
      </w:pPr>
      <w:r>
        <w:drawing>
          <wp:inline>
            <wp:extent cx="628015" cy="72517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628015" cy="725170"/>
                    </a:xfrm>
                    <a:prstGeom prst="rect"/>
                  </pic:spPr>
                </pic:pic>
              </a:graphicData>
            </a:graphic>
          </wp:inline>
        </w:drawing>
      </w:r>
    </w:p>
    <w:p>
      <w:pPr>
        <w:widowControl w:val="0"/>
        <w:spacing w:after="79" w:line="1" w:lineRule="exact"/>
      </w:pPr>
    </w:p>
    <w:p>
      <w:pPr>
        <w:pStyle w:val="Style4"/>
        <w:keepNext w:val="0"/>
        <w:keepLines w:val="0"/>
        <w:widowControl w:val="0"/>
        <w:shd w:val="clear" w:color="auto" w:fill="auto"/>
        <w:bidi w:val="0"/>
        <w:spacing w:before="0" w:after="340" w:line="240" w:lineRule="auto"/>
        <w:ind w:left="0" w:right="0" w:firstLine="0"/>
        <w:jc w:val="center"/>
      </w:pPr>
      <w:r>
        <w:rPr>
          <w:b/>
          <w:bCs/>
          <w:color w:val="000000"/>
          <w:spacing w:val="0"/>
          <w:w w:val="100"/>
          <w:position w:val="0"/>
          <w:sz w:val="24"/>
          <w:szCs w:val="24"/>
          <w:shd w:val="clear" w:color="auto" w:fill="auto"/>
          <w:lang w:val="ru-RU" w:eastAsia="ru-RU" w:bidi="ru-RU"/>
        </w:rPr>
        <w:t>ФЕДЕРАЛЬНАЯ</w:t>
        <w:br/>
        <w:t>АНТИМОНОПОЛЬНАЯ СЛУЖБА</w:t>
        <w:br/>
        <w:t>УПРАВЛЕНИЕ</w:t>
        <w:br/>
        <w:t>Федеральной антимонопольной службы</w:t>
        <w:br/>
        <w:t>по Вологодской области</w:t>
      </w:r>
    </w:p>
    <w:p>
      <w:pPr>
        <w:pStyle w:val="Style4"/>
        <w:keepNext w:val="0"/>
        <w:keepLines w:val="0"/>
        <w:widowControl w:val="0"/>
        <w:pBdr>
          <w:top w:val="single" w:sz="4" w:space="0" w:color="auto"/>
        </w:pBdr>
        <w:shd w:val="clear" w:color="auto" w:fill="auto"/>
        <w:bidi w:val="0"/>
        <w:spacing w:before="0" w:after="0"/>
        <w:ind w:left="0" w:right="0" w:firstLine="0"/>
        <w:jc w:val="both"/>
      </w:pPr>
      <w:r>
        <w:rPr>
          <w:color w:val="000000"/>
          <w:spacing w:val="0"/>
          <w:w w:val="100"/>
          <w:position w:val="0"/>
          <w:sz w:val="24"/>
          <w:szCs w:val="24"/>
          <w:shd w:val="clear" w:color="auto" w:fill="auto"/>
          <w:lang w:val="ru-RU" w:eastAsia="ru-RU" w:bidi="ru-RU"/>
        </w:rPr>
        <w:t>160000, г. Вологда, ул. Пушкинская, 25, тел. (8172)72-99-70; факс (8172)72-46-64</w:t>
      </w:r>
    </w:p>
    <w:p>
      <w:pPr>
        <w:pStyle w:val="Style4"/>
        <w:keepNext w:val="0"/>
        <w:keepLines w:val="0"/>
        <w:widowControl w:val="0"/>
        <w:shd w:val="clear" w:color="auto" w:fill="auto"/>
        <w:bidi w:val="0"/>
        <w:spacing w:before="0" w:after="0"/>
        <w:ind w:left="0" w:right="0" w:firstLine="0"/>
        <w:jc w:val="left"/>
      </w:pPr>
      <w:r>
        <w:rPr>
          <w:color w:val="000000"/>
          <w:spacing w:val="0"/>
          <w:w w:val="100"/>
          <w:position w:val="0"/>
          <w:sz w:val="24"/>
          <w:szCs w:val="24"/>
          <w:shd w:val="clear" w:color="auto" w:fill="auto"/>
          <w:lang w:val="ru-RU" w:eastAsia="ru-RU" w:bidi="ru-RU"/>
        </w:rPr>
        <w:t xml:space="preserve">е-шаИ: </w:t>
      </w:r>
      <w:r>
        <w:rPr>
          <w:color w:val="000000"/>
          <w:spacing w:val="0"/>
          <w:w w:val="100"/>
          <w:position w:val="0"/>
          <w:sz w:val="24"/>
          <w:szCs w:val="24"/>
          <w:u w:val="single"/>
          <w:shd w:val="clear" w:color="auto" w:fill="auto"/>
          <w:lang w:val="ru-RU" w:eastAsia="ru-RU" w:bidi="ru-RU"/>
        </w:rPr>
        <w:t>1о35@Д</w:t>
      </w:r>
      <w:r>
        <w:rPr>
          <w:color w:val="000000"/>
          <w:spacing w:val="0"/>
          <w:w w:val="100"/>
          <w:position w:val="0"/>
          <w:sz w:val="24"/>
          <w:szCs w:val="24"/>
          <w:u w:val="single"/>
          <w:shd w:val="clear" w:color="auto" w:fill="auto"/>
          <w:vertAlign w:val="superscript"/>
          <w:lang w:val="ru-RU" w:eastAsia="ru-RU" w:bidi="ru-RU"/>
        </w:rPr>
        <w:t>?</w:t>
      </w:r>
      <w:r>
        <w:rPr>
          <w:color w:val="000000"/>
          <w:spacing w:val="0"/>
          <w:w w:val="100"/>
          <w:position w:val="0"/>
          <w:sz w:val="24"/>
          <w:szCs w:val="24"/>
          <w:u w:val="single"/>
          <w:shd w:val="clear" w:color="auto" w:fill="auto"/>
          <w:lang w:val="ru-RU" w:eastAsia="ru-RU" w:bidi="ru-RU"/>
        </w:rPr>
        <w:t>а8.доу.ги</w:t>
      </w:r>
    </w:p>
    <w:p>
      <w:pPr>
        <w:pStyle w:val="Style4"/>
        <w:keepNext w:val="0"/>
        <w:keepLines w:val="0"/>
        <w:widowControl w:val="0"/>
        <w:shd w:val="clear" w:color="auto" w:fill="auto"/>
        <w:bidi w:val="0"/>
        <w:spacing w:before="0" w:after="220"/>
        <w:ind w:left="0" w:right="0" w:firstLine="0"/>
        <w:jc w:val="left"/>
      </w:pPr>
      <w:r>
        <w:rPr>
          <w:color w:val="000000"/>
          <w:spacing w:val="0"/>
          <w:w w:val="100"/>
          <w:position w:val="0"/>
          <w:sz w:val="24"/>
          <w:szCs w:val="24"/>
          <w:shd w:val="clear" w:color="auto" w:fill="auto"/>
          <w:lang w:val="ru-RU" w:eastAsia="ru-RU" w:bidi="ru-RU"/>
        </w:rPr>
        <w:t>ЪКр://уо1о§с1а.Га8.§оу.ги</w:t>
      </w:r>
    </w:p>
    <w:p>
      <w:pPr>
        <w:pStyle w:val="Style4"/>
        <w:keepNext w:val="0"/>
        <w:keepLines w:val="0"/>
        <w:widowControl w:val="0"/>
        <w:shd w:val="clear" w:color="auto" w:fill="auto"/>
        <w:tabs>
          <w:tab w:pos="4714" w:val="left"/>
        </w:tabs>
        <w:bidi w:val="0"/>
        <w:spacing w:before="0" w:after="0"/>
        <w:ind w:left="0" w:right="0" w:firstLine="0"/>
        <w:jc w:val="left"/>
      </w:pPr>
      <w:r>
        <w:rPr>
          <w:color w:val="000000"/>
          <w:spacing w:val="0"/>
          <w:w w:val="100"/>
          <w:position w:val="0"/>
          <w:sz w:val="24"/>
          <w:szCs w:val="24"/>
          <w:shd w:val="clear" w:color="auto" w:fill="auto"/>
          <w:lang w:val="ru-RU" w:eastAsia="ru-RU" w:bidi="ru-RU"/>
        </w:rPr>
        <w:t>«04» мая 2023</w:t>
        <w:tab/>
      </w:r>
      <w:r>
        <w:rPr>
          <w:b/>
          <w:bCs/>
          <w:color w:val="000000"/>
          <w:spacing w:val="0"/>
          <w:w w:val="100"/>
          <w:position w:val="0"/>
          <w:sz w:val="24"/>
          <w:szCs w:val="24"/>
          <w:shd w:val="clear" w:color="auto" w:fill="auto"/>
          <w:lang w:val="ru-RU" w:eastAsia="ru-RU" w:bidi="ru-RU"/>
        </w:rPr>
        <w:t>Заявитель:</w:t>
      </w:r>
    </w:p>
    <w:p>
      <w:pPr>
        <w:pStyle w:val="Style4"/>
        <w:keepNext w:val="0"/>
        <w:keepLines w:val="0"/>
        <w:widowControl w:val="0"/>
        <w:shd w:val="clear" w:color="auto" w:fill="auto"/>
        <w:bidi w:val="0"/>
        <w:spacing w:before="0" w:after="0"/>
        <w:ind w:left="4720" w:right="0" w:firstLine="0"/>
        <w:jc w:val="left"/>
      </w:pPr>
      <w:r>
        <w:rPr>
          <w:color w:val="000000"/>
          <w:spacing w:val="0"/>
          <w:w w:val="100"/>
          <w:position w:val="0"/>
          <w:sz w:val="24"/>
          <w:szCs w:val="24"/>
          <w:shd w:val="clear" w:color="auto" w:fill="auto"/>
          <w:lang w:val="ru-RU" w:eastAsia="ru-RU" w:bidi="ru-RU"/>
        </w:rPr>
        <w:t>ООО «Новоком+»</w:t>
      </w:r>
    </w:p>
    <w:p>
      <w:pPr>
        <w:pStyle w:val="Style4"/>
        <w:keepNext w:val="0"/>
        <w:keepLines w:val="0"/>
        <w:widowControl w:val="0"/>
        <w:shd w:val="clear" w:color="auto" w:fill="auto"/>
        <w:bidi w:val="0"/>
        <w:spacing w:before="0" w:after="0"/>
        <w:ind w:left="4720" w:right="0" w:firstLine="0"/>
        <w:jc w:val="left"/>
      </w:pPr>
      <w:r>
        <w:rPr>
          <w:color w:val="000000"/>
          <w:spacing w:val="0"/>
          <w:w w:val="100"/>
          <w:position w:val="0"/>
          <w:sz w:val="24"/>
          <w:szCs w:val="24"/>
          <w:shd w:val="clear" w:color="auto" w:fill="auto"/>
          <w:lang w:val="ru-RU" w:eastAsia="ru-RU" w:bidi="ru-RU"/>
        </w:rPr>
        <w:t>Е-шаП: ра-ог1оу@уапс!ех.ги,</w:t>
      </w:r>
    </w:p>
    <w:p>
      <w:pPr>
        <w:pStyle w:val="Style4"/>
        <w:keepNext w:val="0"/>
        <w:keepLines w:val="0"/>
        <w:widowControl w:val="0"/>
        <w:shd w:val="clear" w:color="auto" w:fill="auto"/>
        <w:bidi w:val="0"/>
        <w:spacing w:before="0" w:after="280"/>
        <w:ind w:left="4720" w:right="0" w:firstLine="0"/>
        <w:jc w:val="left"/>
      </w:pPr>
      <w:r>
        <w:rPr>
          <w:color w:val="000000"/>
          <w:spacing w:val="0"/>
          <w:w w:val="100"/>
          <w:position w:val="0"/>
          <w:sz w:val="24"/>
          <w:szCs w:val="24"/>
          <w:shd w:val="clear" w:color="auto" w:fill="auto"/>
          <w:lang w:val="ru-RU" w:eastAsia="ru-RU" w:bidi="ru-RU"/>
        </w:rPr>
        <w:t>поуокошр1и8@уапс1ех.ги</w:t>
      </w:r>
    </w:p>
    <w:p>
      <w:pPr>
        <w:pStyle w:val="Style4"/>
        <w:keepNext w:val="0"/>
        <w:keepLines w:val="0"/>
        <w:widowControl w:val="0"/>
        <w:shd w:val="clear" w:color="auto" w:fill="auto"/>
        <w:bidi w:val="0"/>
        <w:spacing w:before="0" w:after="0" w:line="240" w:lineRule="auto"/>
        <w:ind w:left="4720" w:right="0" w:firstLine="0"/>
        <w:jc w:val="left"/>
      </w:pPr>
      <w:r>
        <w:rPr>
          <w:b/>
          <w:bCs/>
          <w:color w:val="000000"/>
          <w:spacing w:val="0"/>
          <w:w w:val="100"/>
          <w:position w:val="0"/>
          <w:sz w:val="24"/>
          <w:szCs w:val="24"/>
          <w:shd w:val="clear" w:color="auto" w:fill="auto"/>
          <w:lang w:val="ru-RU" w:eastAsia="ru-RU" w:bidi="ru-RU"/>
        </w:rPr>
        <w:t>Заказчик:</w:t>
      </w:r>
    </w:p>
    <w:p>
      <w:pPr>
        <w:pStyle w:val="Style4"/>
        <w:keepNext w:val="0"/>
        <w:keepLines w:val="0"/>
        <w:widowControl w:val="0"/>
        <w:shd w:val="clear" w:color="auto" w:fill="auto"/>
        <w:bidi w:val="0"/>
        <w:spacing w:before="0" w:after="0" w:line="240" w:lineRule="auto"/>
        <w:ind w:left="4800" w:right="0" w:hanging="60"/>
        <w:jc w:val="left"/>
      </w:pPr>
      <w:r>
        <w:rPr>
          <w:color w:val="000000"/>
          <w:spacing w:val="0"/>
          <w:w w:val="100"/>
          <w:position w:val="0"/>
          <w:sz w:val="24"/>
          <w:szCs w:val="24"/>
          <w:shd w:val="clear" w:color="auto" w:fill="auto"/>
          <w:lang w:val="ru-RU" w:eastAsia="ru-RU" w:bidi="ru-RU"/>
        </w:rPr>
        <w:t>Администрация Череповецкого муниципального района</w:t>
      </w:r>
    </w:p>
    <w:p>
      <w:pPr>
        <w:pStyle w:val="Style4"/>
        <w:keepNext w:val="0"/>
        <w:keepLines w:val="0"/>
        <w:widowControl w:val="0"/>
        <w:shd w:val="clear" w:color="auto" w:fill="auto"/>
        <w:bidi w:val="0"/>
        <w:spacing w:before="0" w:after="280" w:line="240" w:lineRule="auto"/>
        <w:ind w:left="4800" w:right="0" w:hanging="60"/>
        <w:jc w:val="left"/>
      </w:pPr>
      <w:r>
        <w:rPr>
          <w:color w:val="000000"/>
          <w:spacing w:val="0"/>
          <w:w w:val="100"/>
          <w:position w:val="0"/>
          <w:sz w:val="24"/>
          <w:szCs w:val="24"/>
          <w:shd w:val="clear" w:color="auto" w:fill="auto"/>
          <w:lang w:val="ru-RU" w:eastAsia="ru-RU" w:bidi="ru-RU"/>
        </w:rPr>
        <w:t>Е-шаП: 1н1@сЬегга.ги</w:t>
      </w:r>
    </w:p>
    <w:p>
      <w:pPr>
        <w:pStyle w:val="Style4"/>
        <w:keepNext w:val="0"/>
        <w:keepLines w:val="0"/>
        <w:widowControl w:val="0"/>
        <w:shd w:val="clear" w:color="auto" w:fill="auto"/>
        <w:bidi w:val="0"/>
        <w:spacing w:before="0" w:after="0"/>
        <w:ind w:left="4800" w:right="0" w:hanging="60"/>
        <w:jc w:val="left"/>
      </w:pPr>
      <w:r>
        <w:rPr>
          <w:b/>
          <w:bCs/>
          <w:color w:val="000000"/>
          <w:spacing w:val="0"/>
          <w:w w:val="100"/>
          <w:position w:val="0"/>
          <w:sz w:val="24"/>
          <w:szCs w:val="24"/>
          <w:shd w:val="clear" w:color="auto" w:fill="auto"/>
          <w:lang w:val="ru-RU" w:eastAsia="ru-RU" w:bidi="ru-RU"/>
        </w:rPr>
        <w:t>Уполномоченное учреждение:</w:t>
      </w:r>
    </w:p>
    <w:p>
      <w:pPr>
        <w:pStyle w:val="Style8"/>
        <w:keepNext/>
        <w:keepLines/>
        <w:widowControl w:val="0"/>
        <w:shd w:val="clear" w:color="auto" w:fill="auto"/>
        <w:bidi w:val="0"/>
        <w:spacing w:before="0" w:after="0"/>
        <w:ind w:right="0"/>
        <w:jc w:val="left"/>
      </w:pPr>
      <w:bookmarkStart w:id="0" w:name="bookmark0"/>
      <w:r>
        <w:rPr>
          <w:rFonts w:ascii="Courier New" w:eastAsia="Courier New" w:hAnsi="Courier New" w:cs="Courier New"/>
          <w:color w:val="000000"/>
          <w:spacing w:val="0"/>
          <w:w w:val="100"/>
          <w:position w:val="0"/>
          <w:shd w:val="clear" w:color="auto" w:fill="auto"/>
          <w:lang w:val="ru-RU" w:eastAsia="ru-RU" w:bidi="ru-RU"/>
        </w:rPr>
        <w:t>МКУ «цкод»</w:t>
      </w:r>
      <w:bookmarkEnd w:id="0"/>
    </w:p>
    <w:p>
      <w:pPr>
        <w:pStyle w:val="Style4"/>
        <w:keepNext w:val="0"/>
        <w:keepLines w:val="0"/>
        <w:widowControl w:val="0"/>
        <w:shd w:val="clear" w:color="auto" w:fill="auto"/>
        <w:bidi w:val="0"/>
        <w:spacing w:before="0" w:after="280"/>
        <w:ind w:left="4800" w:right="0" w:hanging="60"/>
        <w:jc w:val="left"/>
      </w:pPr>
      <w:r>
        <w:rPr>
          <w:color w:val="000000"/>
          <w:spacing w:val="0"/>
          <w:w w:val="100"/>
          <w:position w:val="0"/>
          <w:sz w:val="24"/>
          <w:szCs w:val="24"/>
          <w:shd w:val="clear" w:color="auto" w:fill="auto"/>
          <w:lang w:val="ru-RU" w:eastAsia="ru-RU" w:bidi="ru-RU"/>
        </w:rPr>
        <w:t>Е-таП: отх35@с11егга.ги</w:t>
      </w:r>
    </w:p>
    <w:p>
      <w:pPr>
        <w:pStyle w:val="Style4"/>
        <w:keepNext w:val="0"/>
        <w:keepLines w:val="0"/>
        <w:widowControl w:val="0"/>
        <w:shd w:val="clear" w:color="auto" w:fill="auto"/>
        <w:bidi w:val="0"/>
        <w:spacing w:before="0" w:after="0"/>
        <w:ind w:left="4800" w:right="0" w:hanging="60"/>
        <w:jc w:val="left"/>
      </w:pPr>
      <w:r>
        <w:rPr>
          <w:b/>
          <w:bCs/>
          <w:color w:val="000000"/>
          <w:spacing w:val="0"/>
          <w:w w:val="100"/>
          <w:position w:val="0"/>
          <w:sz w:val="24"/>
          <w:szCs w:val="24"/>
          <w:shd w:val="clear" w:color="auto" w:fill="auto"/>
          <w:lang w:val="ru-RU" w:eastAsia="ru-RU" w:bidi="ru-RU"/>
        </w:rPr>
        <w:t>Оператор электронной площадки:</w:t>
      </w:r>
    </w:p>
    <w:p>
      <w:pPr>
        <w:pStyle w:val="Style4"/>
        <w:keepNext w:val="0"/>
        <w:keepLines w:val="0"/>
        <w:widowControl w:val="0"/>
        <w:shd w:val="clear" w:color="auto" w:fill="auto"/>
        <w:bidi w:val="0"/>
        <w:spacing w:before="0" w:after="0"/>
        <w:ind w:left="4800" w:right="0" w:hanging="60"/>
        <w:jc w:val="left"/>
      </w:pPr>
      <w:r>
        <w:rPr>
          <w:color w:val="000000"/>
          <w:spacing w:val="0"/>
          <w:w w:val="100"/>
          <w:position w:val="0"/>
          <w:sz w:val="24"/>
          <w:szCs w:val="24"/>
          <w:shd w:val="clear" w:color="auto" w:fill="auto"/>
          <w:lang w:val="ru-RU" w:eastAsia="ru-RU" w:bidi="ru-RU"/>
        </w:rPr>
        <w:t>АО «Сбербанк - АСТ»</w:t>
      </w:r>
    </w:p>
    <w:p>
      <w:pPr>
        <w:pStyle w:val="Style4"/>
        <w:keepNext w:val="0"/>
        <w:keepLines w:val="0"/>
        <w:widowControl w:val="0"/>
        <w:shd w:val="clear" w:color="auto" w:fill="auto"/>
        <w:bidi w:val="0"/>
        <w:spacing w:before="0" w:after="280"/>
        <w:ind w:left="4800" w:right="0" w:hanging="60"/>
        <w:jc w:val="left"/>
      </w:pPr>
      <w:r>
        <w:rPr>
          <w:color w:val="000000"/>
          <w:spacing w:val="0"/>
          <w:w w:val="100"/>
          <w:position w:val="0"/>
          <w:sz w:val="24"/>
          <w:szCs w:val="24"/>
          <w:shd w:val="clear" w:color="auto" w:fill="auto"/>
          <w:lang w:val="ru-RU" w:eastAsia="ru-RU" w:bidi="ru-RU"/>
        </w:rPr>
        <w:t>Е-шаП: ко@8ЬегЬапк-а81.ги</w:t>
      </w:r>
    </w:p>
    <w:p>
      <w:pPr>
        <w:pStyle w:val="Style4"/>
        <w:keepNext w:val="0"/>
        <w:keepLines w:val="0"/>
        <w:widowControl w:val="0"/>
        <w:shd w:val="clear" w:color="auto" w:fill="auto"/>
        <w:bidi w:val="0"/>
        <w:spacing w:before="0" w:after="0"/>
        <w:ind w:left="0" w:right="0" w:firstLine="0"/>
        <w:jc w:val="center"/>
      </w:pPr>
      <w:r>
        <w:rPr>
          <w:b/>
          <w:bCs/>
          <w:color w:val="000000"/>
          <w:spacing w:val="0"/>
          <w:w w:val="100"/>
          <w:position w:val="0"/>
          <w:sz w:val="24"/>
          <w:szCs w:val="24"/>
          <w:shd w:val="clear" w:color="auto" w:fill="auto"/>
          <w:lang w:val="ru-RU" w:eastAsia="ru-RU" w:bidi="ru-RU"/>
        </w:rPr>
        <w:t>РЕШЕНИЕ № 035/06/31-300/2023</w:t>
      </w:r>
    </w:p>
    <w:p>
      <w:pPr>
        <w:pStyle w:val="Style4"/>
        <w:keepNext w:val="0"/>
        <w:keepLines w:val="0"/>
        <w:widowControl w:val="0"/>
        <w:shd w:val="clear" w:color="auto" w:fill="auto"/>
        <w:tabs>
          <w:tab w:pos="8539" w:val="left"/>
        </w:tabs>
        <w:bidi w:val="0"/>
        <w:spacing w:before="0" w:after="280"/>
        <w:ind w:left="0" w:right="0" w:firstLine="0"/>
        <w:jc w:val="both"/>
      </w:pPr>
      <w:r>
        <w:rPr>
          <w:color w:val="000000"/>
          <w:spacing w:val="0"/>
          <w:w w:val="100"/>
          <w:position w:val="0"/>
          <w:sz w:val="24"/>
          <w:szCs w:val="24"/>
          <w:shd w:val="clear" w:color="auto" w:fill="auto"/>
          <w:lang w:val="ru-RU" w:eastAsia="ru-RU" w:bidi="ru-RU"/>
        </w:rPr>
        <w:t>«28» апреля 2023 г.</w:t>
        <w:tab/>
        <w:t>г. Вологда</w:t>
      </w:r>
    </w:p>
    <w:p>
      <w:pPr>
        <w:pStyle w:val="Style4"/>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Комиссия по контролю в сфере закупок Управления Федеральной антимонопольной службы по Вологодской области (далее - комиссия Управления) в составе:</w:t>
      </w:r>
    </w:p>
    <w:p>
      <w:pPr>
        <w:pStyle w:val="Style4"/>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Ростиславова А.А. - председатель комиссии Управления, заместитель руководителя Управления Федеральной антимонопольной службы по Вологодской области,</w:t>
      </w:r>
    </w:p>
    <w:p>
      <w:pPr>
        <w:pStyle w:val="Style4"/>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Сучков О.Н. - член комиссии Управления, помощник руководителя Управления Федеральной антимонопольной службы по Вологодской области,</w:t>
      </w:r>
    </w:p>
    <w:p>
      <w:pPr>
        <w:pStyle w:val="Style4"/>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Кузнецова Ю.Н. - член комиссии Управления, старший государственный инспектор отдела контроля органов власти и закупок Управления Федеральной антимонопольной службы по Вологодской области,</w:t>
      </w:r>
    </w:p>
    <w:p>
      <w:pPr>
        <w:pStyle w:val="Style4"/>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Шпякина М.А. - член комиссии Управления, ведущий специалист-эксперт отдела контроля органов власти и закупок Управления Федеральной антимонопольной службы по Вологодской области,</w:t>
      </w:r>
    </w:p>
    <w:p>
      <w:pPr>
        <w:pStyle w:val="Style4"/>
        <w:keepNext w:val="0"/>
        <w:keepLines w:val="0"/>
        <w:widowControl w:val="0"/>
        <w:shd w:val="clear" w:color="auto" w:fill="auto"/>
        <w:bidi w:val="0"/>
        <w:spacing w:before="0" w:after="0"/>
        <w:ind w:left="0" w:right="0" w:firstLine="700"/>
        <w:jc w:val="both"/>
      </w:pPr>
      <w:r>
        <w:rPr>
          <w:color w:val="000000"/>
          <w:spacing w:val="0"/>
          <w:w w:val="100"/>
          <w:position w:val="0"/>
          <w:sz w:val="24"/>
          <w:szCs w:val="24"/>
          <w:shd w:val="clear" w:color="auto" w:fill="auto"/>
          <w:lang w:val="ru-RU" w:eastAsia="ru-RU" w:bidi="ru-RU"/>
        </w:rPr>
        <w:t xml:space="preserve">рассмотрев с использованием видео-конференц-связи жалобу ООО «Новоком+» на </w:t>
      </w:r>
      <w:r>
        <w:rPr>
          <w:color w:val="000000"/>
          <w:spacing w:val="0"/>
          <w:w w:val="100"/>
          <w:position w:val="0"/>
          <w:sz w:val="24"/>
          <w:szCs w:val="24"/>
          <w:shd w:val="clear" w:color="auto" w:fill="auto"/>
          <w:lang w:val="ru-RU" w:eastAsia="ru-RU" w:bidi="ru-RU"/>
        </w:rPr>
        <w:t xml:space="preserve">положения извещения при проведении запроса котировок в электронной форме, предмет закупки - выполнение работ по проведению экспертизы промышленной безопасности и паспортизации тепловой сети с внесением в реестр Ростехнадзора в д. Ирдоматка, извещение № 0830300005423000045 (далее - запрос котировок, закупка), Заказчик - Администрация Череповецкого муниципального района, Уполномоченное учреждение </w:t>
      </w:r>
      <w:r>
        <w:rPr>
          <w:color w:val="3A5E6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ru-RU" w:eastAsia="ru-RU" w:bidi="ru-RU"/>
        </w:rPr>
        <w:t>МКУ «ЦКОД», при участии,</w:t>
      </w:r>
    </w:p>
    <w:p>
      <w:pPr>
        <w:pStyle w:val="Style4"/>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представителя Заявителя - Ноговицыной О.Н. (по доверенности от 01.03.2023 б/н),</w:t>
      </w:r>
    </w:p>
    <w:p>
      <w:pPr>
        <w:pStyle w:val="Style4"/>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представителя Заказчика - Лактионовой Н.И. (по доверенности от 21.02.2023 б/н), представителя Уполномоченного учреждения - Окуневой М.В. (по доверенности от 30.08.2022 б/н),</w:t>
      </w:r>
    </w:p>
    <w:p>
      <w:pPr>
        <w:pStyle w:val="Style4"/>
        <w:keepNext w:val="0"/>
        <w:keepLines w:val="0"/>
        <w:widowControl w:val="0"/>
        <w:shd w:val="clear" w:color="auto" w:fill="auto"/>
        <w:bidi w:val="0"/>
        <w:spacing w:before="0" w:after="0"/>
        <w:ind w:left="0" w:right="0" w:firstLine="0"/>
        <w:jc w:val="center"/>
      </w:pPr>
      <w:r>
        <w:rPr>
          <w:b/>
          <w:bCs/>
          <w:color w:val="000000"/>
          <w:spacing w:val="0"/>
          <w:w w:val="100"/>
          <w:position w:val="0"/>
          <w:sz w:val="24"/>
          <w:szCs w:val="24"/>
          <w:shd w:val="clear" w:color="auto" w:fill="auto"/>
          <w:lang w:val="ru-RU" w:eastAsia="ru-RU" w:bidi="ru-RU"/>
        </w:rPr>
        <w:t>УСТАНОВИЛА:</w:t>
      </w:r>
    </w:p>
    <w:p>
      <w:pPr>
        <w:pStyle w:val="Style4"/>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23.04.2023 в Управление Федеральной антимонопольной службы по Вологодской области (далее - Управление) посредством единой информационной системы в сфере закупок (далее - ЕИС) поступила жалоба Заявителя на положения извещения о проведении запроса котировок, противоречащие Федеральному закону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4"/>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Жалоба Заявителя подана в надлежащий срок, а также соответствует требованиям, предусмотренным ст. 105 Закона о контрактной системе.</w:t>
      </w:r>
    </w:p>
    <w:p>
      <w:pPr>
        <w:pStyle w:val="Style4"/>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Заявитель обжалует положения извещения о проведении электронного аукциона.</w:t>
      </w:r>
    </w:p>
    <w:p>
      <w:pPr>
        <w:pStyle w:val="Style4"/>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извещении о проведении запроса котировок установлено требование к участникам о наличии лицензии (копии) на деятельность по проведению экспертизы промышленной безопасности, включающую виды работ (оказания услуг): проведение экспертизы промышленной безопасности технических устройств, применяемых на опасном производственном объекте. По мнению Заявителя, данное требование установлено неправомерно, а также неправомерно установлено требование о том, чтобы победитель запроса котировок выполнил работы лично. Установление указанных требований приводит к ограничению количества участников закупки.</w:t>
      </w:r>
    </w:p>
    <w:p>
      <w:pPr>
        <w:pStyle w:val="Style4"/>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Заказчик представил возражения на жалобу (исх. № 1-07/986 от 27.04.2023), согласно которым, жалоба является необоснованной.</w:t>
      </w:r>
    </w:p>
    <w:p>
      <w:pPr>
        <w:pStyle w:val="Style4"/>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Уполномоченное учреждение представило возражения на жалобу (исх. № 23-1/91 от 27.04.2023), согласно которым, жалоба является необоснованной.</w:t>
      </w:r>
    </w:p>
    <w:p>
      <w:pPr>
        <w:pStyle w:val="Style4"/>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Комиссия Управления, рассмотрев представленные материалы в их совокупности, заслушав представителей Заявителя, Заказчика и Уполномоченного учреждения, пришла к следующему выводу.</w:t>
      </w:r>
    </w:p>
    <w:p>
      <w:pPr>
        <w:pStyle w:val="Style4"/>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20.04.2023 в ЕИС размещено извещение № 0830300005423000045 о проведении электронного аукциона от 20.04.2023.</w:t>
      </w:r>
    </w:p>
    <w:p>
      <w:pPr>
        <w:pStyle w:val="Style4"/>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Начальная (максимальная) цена контракта: 1 066 563,33 руб.</w:t>
      </w:r>
    </w:p>
    <w:p>
      <w:pPr>
        <w:pStyle w:val="Style4"/>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Дата и время начала срока подачи заявок: 20.04.2023 в 15 ч. 45 мин.</w:t>
      </w:r>
    </w:p>
    <w:p>
      <w:pPr>
        <w:pStyle w:val="Style4"/>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Дата и время окончания срока подачи заявок: 27.04.2023 в 10 ч. 00 мин.</w:t>
      </w:r>
    </w:p>
    <w:p>
      <w:pPr>
        <w:pStyle w:val="Style4"/>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Дата подведения итогов определения поставщика (подрядчика, исполнителя): 02.05.2023.</w:t>
      </w:r>
    </w:p>
    <w:p>
      <w:pPr>
        <w:pStyle w:val="Style4"/>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соответствии с п. 1 ч. 1 ст. 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 4, 5, 18, 30, 42, 49, 54 и 59 ч. 1 ст. 93 Закона о контрактной системе, заказчик устанавливает требование к участникам закупки и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4"/>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Объектом рассматриваемой закупки является выполнение работ по проведению экспертизы промышленной безопасности и паспортизации тепловой сети с внесением в реестр Ростехнадзора в д. Ирдоматка.</w:t>
      </w:r>
    </w:p>
    <w:p>
      <w:pPr>
        <w:pStyle w:val="Style4"/>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Согласно ч. 1 ст. 49 Гражданского кодекса Российской Федерации в случаях, предусмотренных законом, юридическое лицо может заниматься отдельными видами деятельности только на основании специального разрешения (лицензии), членства в саморегулируемой организации или выданного саморегулируемой организацией свидетельства о допуске к определенному виду работ.</w:t>
      </w:r>
    </w:p>
    <w:p>
      <w:pPr>
        <w:pStyle w:val="Style4"/>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В силу п. 49 ч. 1 ст. 12 Федерального закона от 04.05.2011 № 99-ФЗ «О лицензировании отдельных видов деятельности» деятельность по проведению экспертизы промышленной безопасности подлежит лицензированию. Вид работ - «проведение экспертизы промышленной безопасности технических устройств, применяемых на опасном производственном объекте, в случаях, установленных ст. 7 Федерального закона «О промышленной безопасности опасных производственных объектов»» установлен пп. «в» п. 3 Положения о лицензировании деятельности по проведению экспертизы промышленной безопасности, утвержденного постановлением Правительства Российской Федерации от 16.09.2020 № 1477 «О лицензировании деятельности по проведению экспертизы промышленной безопасности».</w:t>
      </w:r>
    </w:p>
    <w:p>
      <w:pPr>
        <w:pStyle w:val="Style4"/>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В соответствии со ст. 13 Федерального закона от 21.07.1997 № 116-ФЗ «О промышленной безопасности опасных производственных объектов» тепловая сеть подлежит обязательной промышленной экспертизе (технические устройства, применяемые на опасном производственном объекте, в случаях, установленных ст. 7 настоящего Федерального закона).</w:t>
      </w:r>
    </w:p>
    <w:p>
      <w:pPr>
        <w:pStyle w:val="Style4"/>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Комиссией Управления установлено, что в Приложении № 3 к извещению о проведении запроса котировок установлены следующие требования, предъявляемые к участникам закупки в соответствии с п. 1 ч. 1 ст. 31 Закона о контрактной системе: «Соответствие требованиям, установленным в соответствии с законодательством Российской Федерации к лицам, осуществляющим выполнение работ, являющихся объектом закупки:</w:t>
      </w:r>
    </w:p>
    <w:p>
      <w:pPr>
        <w:pStyle w:val="Style4"/>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 наличие лицензии (копии) на деятельность по проведению экспертизы промышленной безопасности, включающую виды работ (оказания услуг): проведение экспертизы промышленной безопасности технических устройств, применяемых на опасном производственном объекте, в случаях, установленных статьей 7 Федерального закона «О промышленной безопасности опасных производственных объектов» (п.49 ч.1 ст.12 Федерального закона от 04.05.2011 № 99-ФЗ «О лицензировании отдельных видов деятельности», Федеральный закон от 21.07.1997 № 116-ФЗ «О промышленной безопасности опасных производственных объектов», постановление Правительства РФ от 16.09.2020 № 1477 «О лицензировании деятельности по проведению экспертизы промышленной безопасности»)».</w:t>
      </w:r>
    </w:p>
    <w:p>
      <w:pPr>
        <w:pStyle w:val="Style4"/>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Согласно пп. 3.2.3 п. 3 Приложения № 4 «Проект контракта» Подрядчик обязуется выполнить все работы по настоящему Контракту собственными силами, в соответствии с условиями настоящего Контракта, технического задания, строительными нормами, правилами техники безопасности, правилами пожарной безопасности, правилами по охране зеленых насаждений, а также иными нормативно-правовыми документами, действующими на территории Российской Федерации.</w:t>
      </w:r>
    </w:p>
    <w:p>
      <w:pPr>
        <w:pStyle w:val="Style4"/>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Таким образом, работы, являющиеся объектом закупки являются лицензируемыми.</w:t>
      </w:r>
    </w:p>
    <w:p>
      <w:pPr>
        <w:pStyle w:val="Style4"/>
        <w:keepNext w:val="0"/>
        <w:keepLines w:val="0"/>
        <w:widowControl w:val="0"/>
        <w:shd w:val="clear" w:color="auto" w:fill="auto"/>
        <w:bidi w:val="0"/>
        <w:spacing w:before="0" w:after="0" w:line="264" w:lineRule="auto"/>
        <w:ind w:left="0" w:right="0" w:firstLine="740"/>
        <w:jc w:val="both"/>
      </w:pPr>
      <w:r>
        <w:rPr>
          <w:color w:val="000000"/>
          <w:spacing w:val="0"/>
          <w:w w:val="100"/>
          <w:position w:val="0"/>
          <w:sz w:val="24"/>
          <w:szCs w:val="24"/>
          <w:shd w:val="clear" w:color="auto" w:fill="auto"/>
          <w:lang w:val="ru-RU" w:eastAsia="ru-RU" w:bidi="ru-RU"/>
        </w:rPr>
        <w:t>Законодательство о контрактной системе не содержит ограничений относительно требования о выполнении работ собственными силами подрядчика.</w:t>
      </w:r>
      <w:r>
        <w:br w:type="page"/>
      </w:r>
    </w:p>
    <w:p>
      <w:pPr>
        <w:pStyle w:val="Style4"/>
        <w:keepNext w:val="0"/>
        <w:keepLines w:val="0"/>
        <w:widowControl w:val="0"/>
        <w:shd w:val="clear" w:color="auto" w:fill="auto"/>
        <w:bidi w:val="0"/>
        <w:spacing w:before="0" w:after="0" w:line="257" w:lineRule="auto"/>
        <w:ind w:left="0" w:right="0" w:firstLine="700"/>
        <w:jc w:val="both"/>
      </w:pPr>
      <w:r>
        <w:rPr>
          <w:color w:val="000000"/>
          <w:spacing w:val="0"/>
          <w:w w:val="100"/>
          <w:position w:val="0"/>
          <w:sz w:val="24"/>
          <w:szCs w:val="24"/>
          <w:shd w:val="clear" w:color="auto" w:fill="auto"/>
          <w:lang w:val="ru-RU" w:eastAsia="ru-RU" w:bidi="ru-RU"/>
        </w:rPr>
        <w:t>На участие в запросе котировок подано четыре заявки, все заявки признаны соответствующими требованиям извещения о проведении запроса котировок.</w:t>
      </w:r>
    </w:p>
    <w:p>
      <w:pPr>
        <w:pStyle w:val="Style4"/>
        <w:keepNext w:val="0"/>
        <w:keepLines w:val="0"/>
        <w:widowControl w:val="0"/>
        <w:shd w:val="clear" w:color="auto" w:fill="auto"/>
        <w:bidi w:val="0"/>
        <w:spacing w:before="0" w:after="0" w:line="257" w:lineRule="auto"/>
        <w:ind w:left="0" w:right="0" w:firstLine="700"/>
        <w:jc w:val="both"/>
      </w:pPr>
      <w:r>
        <w:rPr>
          <w:color w:val="000000"/>
          <w:spacing w:val="0"/>
          <w:w w:val="100"/>
          <w:position w:val="0"/>
          <w:sz w:val="24"/>
          <w:szCs w:val="24"/>
          <w:shd w:val="clear" w:color="auto" w:fill="auto"/>
          <w:lang w:val="ru-RU" w:eastAsia="ru-RU" w:bidi="ru-RU"/>
        </w:rPr>
        <w:t>На заседании комиссии Управления представитель Заявителя сообщил, что лицензии на проведение экспертизы промышленной безопасности технических устройств, применяемых на опасном производственном объекте ООО «Новоком+» не имеет.</w:t>
      </w:r>
    </w:p>
    <w:p>
      <w:pPr>
        <w:pStyle w:val="Style4"/>
        <w:keepNext w:val="0"/>
        <w:keepLines w:val="0"/>
        <w:widowControl w:val="0"/>
        <w:shd w:val="clear" w:color="auto" w:fill="auto"/>
        <w:bidi w:val="0"/>
        <w:spacing w:before="0" w:after="0" w:line="252" w:lineRule="auto"/>
        <w:ind w:left="0" w:right="0" w:firstLine="700"/>
        <w:jc w:val="both"/>
      </w:pPr>
      <w:r>
        <w:rPr>
          <w:color w:val="000000"/>
          <w:spacing w:val="0"/>
          <w:w w:val="100"/>
          <w:position w:val="0"/>
          <w:sz w:val="24"/>
          <w:szCs w:val="24"/>
          <w:shd w:val="clear" w:color="auto" w:fill="auto"/>
          <w:lang w:val="ru-RU" w:eastAsia="ru-RU" w:bidi="ru-RU"/>
        </w:rPr>
        <w:t>Кроме того, при рассмотрении жалобы представитель Заказчика пояснил, что Прокуратурой Череповецкого района была проведена проверка, по результатам которой было выдано Представление об устранении нарушений закона, причин и условий им способствующих (далее - Представление). Согласно Представлению, на территории Череповецкого района расположена тепловая сеть в д. Ирдоматка, эксплуатируемая МУП «Водоканал Череповецкого муниципального района», согласно информации Федеральной службы по экологическому, технологическому и атомному надзору данная тепловая сеть подпадает под категорию опасного производственного объекта, однако тепловая сеть в реестр опасных производственных объектов не включена, до настоящего времени экспертиза промышленной безопасности тепловой сети не проведена. Данное нарушение согласно Представлению требует незамедлительного устранения. В целях устранения данного нарушения Заказчиком и Уполномоченным учреждением и проводится рассматриваемая закупка.</w:t>
      </w:r>
    </w:p>
    <w:p>
      <w:pPr>
        <w:pStyle w:val="Style4"/>
        <w:keepNext w:val="0"/>
        <w:keepLines w:val="0"/>
        <w:widowControl w:val="0"/>
        <w:shd w:val="clear" w:color="auto" w:fill="auto"/>
        <w:bidi w:val="0"/>
        <w:spacing w:before="0" w:after="0" w:line="252" w:lineRule="auto"/>
        <w:ind w:left="0" w:right="0" w:firstLine="700"/>
        <w:jc w:val="both"/>
      </w:pPr>
      <w:r>
        <w:rPr>
          <w:color w:val="000000"/>
          <w:spacing w:val="0"/>
          <w:w w:val="100"/>
          <w:position w:val="0"/>
          <w:sz w:val="24"/>
          <w:szCs w:val="24"/>
          <w:shd w:val="clear" w:color="auto" w:fill="auto"/>
          <w:lang w:val="ru-RU" w:eastAsia="ru-RU" w:bidi="ru-RU"/>
        </w:rPr>
        <w:t>Комиссия Управления, проанализировав вышеуказанную информацию пришла к выводу о том, что требование о наличии лицензии и выполнении работ собственными силами подрядчика установлено правомерно, ограничение количества участников закупки отсутствует, доводы Заявителя не нашли своего подтверждения.</w:t>
      </w:r>
    </w:p>
    <w:p>
      <w:pPr>
        <w:pStyle w:val="Style4"/>
        <w:keepNext w:val="0"/>
        <w:keepLines w:val="0"/>
        <w:widowControl w:val="0"/>
        <w:shd w:val="clear" w:color="auto" w:fill="auto"/>
        <w:bidi w:val="0"/>
        <w:spacing w:before="0" w:after="0" w:line="252" w:lineRule="auto"/>
        <w:ind w:left="0" w:right="0" w:firstLine="700"/>
        <w:jc w:val="both"/>
      </w:pPr>
      <w:r>
        <w:rPr>
          <w:color w:val="000000"/>
          <w:spacing w:val="0"/>
          <w:w w:val="100"/>
          <w:position w:val="0"/>
          <w:sz w:val="24"/>
          <w:szCs w:val="24"/>
          <w:shd w:val="clear" w:color="auto" w:fill="auto"/>
          <w:lang w:val="ru-RU" w:eastAsia="ru-RU" w:bidi="ru-RU"/>
        </w:rPr>
        <w:t>В соответствии с п. 1 ч. 15 ст. 99 Закона о контрактной системе, комиссия Управления провела внеплановую проверку, по результатам которой нарушений не установлено.</w:t>
      </w:r>
    </w:p>
    <w:p>
      <w:pPr>
        <w:pStyle w:val="Style4"/>
        <w:keepNext w:val="0"/>
        <w:keepLines w:val="0"/>
        <w:widowControl w:val="0"/>
        <w:shd w:val="clear" w:color="auto" w:fill="auto"/>
        <w:bidi w:val="0"/>
        <w:spacing w:before="0" w:after="0" w:line="252" w:lineRule="auto"/>
        <w:ind w:left="0" w:right="0" w:firstLine="700"/>
        <w:jc w:val="both"/>
      </w:pPr>
      <w:r>
        <w:rPr>
          <w:color w:val="000000"/>
          <w:spacing w:val="0"/>
          <w:w w:val="100"/>
          <w:position w:val="0"/>
          <w:sz w:val="24"/>
          <w:szCs w:val="24"/>
          <w:shd w:val="clear" w:color="auto" w:fill="auto"/>
          <w:lang w:val="ru-RU" w:eastAsia="ru-RU" w:bidi="ru-RU"/>
        </w:rPr>
        <w:t>На основании вышеизложенного, комиссия Управления, руководствуясь ст. ст. 99, 106 Закона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Административный регламент), утвержденным приказом Федеральной антимонопольной службы России от 19.11.2014 № 727/14,</w:t>
      </w:r>
    </w:p>
    <w:p>
      <w:pPr>
        <w:pStyle w:val="Style4"/>
        <w:keepNext w:val="0"/>
        <w:keepLines w:val="0"/>
        <w:widowControl w:val="0"/>
        <w:shd w:val="clear" w:color="auto" w:fill="auto"/>
        <w:bidi w:val="0"/>
        <w:spacing w:before="0" w:after="0" w:line="252" w:lineRule="auto"/>
        <w:ind w:left="0" w:right="0" w:firstLine="0"/>
        <w:jc w:val="center"/>
      </w:pPr>
      <w:r>
        <w:rPr>
          <w:b/>
          <w:bCs/>
          <w:color w:val="000000"/>
          <w:spacing w:val="0"/>
          <w:w w:val="100"/>
          <w:position w:val="0"/>
          <w:sz w:val="24"/>
          <w:szCs w:val="24"/>
          <w:shd w:val="clear" w:color="auto" w:fill="auto"/>
          <w:lang w:val="ru-RU" w:eastAsia="ru-RU" w:bidi="ru-RU"/>
        </w:rPr>
        <w:t>РЕШИЛА:</w:t>
      </w:r>
    </w:p>
    <w:p>
      <w:pPr>
        <w:pStyle w:val="Style4"/>
        <w:keepNext w:val="0"/>
        <w:keepLines w:val="0"/>
        <w:widowControl w:val="0"/>
        <w:shd w:val="clear" w:color="auto" w:fill="auto"/>
        <w:bidi w:val="0"/>
        <w:spacing w:before="0" w:after="0" w:line="252" w:lineRule="auto"/>
        <w:ind w:left="0" w:right="0" w:firstLine="700"/>
        <w:jc w:val="both"/>
      </w:pPr>
      <w:r>
        <w:rPr>
          <w:color w:val="000000"/>
          <w:spacing w:val="0"/>
          <w:w w:val="100"/>
          <w:position w:val="0"/>
          <w:sz w:val="24"/>
          <w:szCs w:val="24"/>
          <w:shd w:val="clear" w:color="auto" w:fill="auto"/>
          <w:lang w:val="ru-RU" w:eastAsia="ru-RU" w:bidi="ru-RU"/>
        </w:rPr>
        <w:t>1. Признать жалобу ООО «Новоком+» необоснованной.</w:t>
      </w:r>
    </w:p>
    <w:p>
      <w:pPr>
        <w:pStyle w:val="Style4"/>
        <w:keepNext w:val="0"/>
        <w:keepLines w:val="0"/>
        <w:widowControl w:val="0"/>
        <w:shd w:val="clear" w:color="auto" w:fill="auto"/>
        <w:bidi w:val="0"/>
        <w:spacing w:before="0" w:after="280" w:line="252" w:lineRule="auto"/>
        <w:ind w:left="0" w:right="0" w:firstLine="700"/>
        <w:jc w:val="both"/>
      </w:pPr>
      <w:r>
        <w:rPr>
          <w:color w:val="000000"/>
          <w:spacing w:val="0"/>
          <w:w w:val="100"/>
          <w:position w:val="0"/>
          <w:sz w:val="24"/>
          <w:szCs w:val="24"/>
          <w:shd w:val="clear" w:color="auto" w:fill="auto"/>
          <w:lang w:val="ru-RU" w:eastAsia="ru-RU" w:bidi="ru-RU"/>
        </w:rPr>
        <w:t>2. Требование о приостановке определения поставщика (подрядчика, исполнителя) в части подписания контракта, установленное Управлением на основании ч. 7 ст. 106 Закона о контрактной системе, отменить.</w:t>
      </w:r>
    </w:p>
    <w:p>
      <w:pPr>
        <w:pStyle w:val="Style4"/>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Настоящее решение может быть обжаловано в судебном порядке в течение трех</w:t>
      </w:r>
    </w:p>
    <w:p>
      <w:pPr>
        <w:pStyle w:val="Style4"/>
        <w:keepNext w:val="0"/>
        <w:keepLines w:val="0"/>
        <w:widowControl w:val="0"/>
        <w:shd w:val="clear" w:color="auto" w:fill="auto"/>
        <w:bidi w:val="0"/>
        <w:spacing w:before="0" w:after="280" w:line="240" w:lineRule="auto"/>
        <w:ind w:left="0" w:right="0" w:firstLine="0"/>
        <w:jc w:val="both"/>
      </w:pPr>
      <w:r>
        <w:drawing>
          <wp:anchor distT="0" distB="1027430" distL="1037590" distR="1391285" simplePos="0" relativeHeight="125829378" behindDoc="0" locked="0" layoutInCell="1" allowOverlap="1">
            <wp:simplePos x="0" y="0"/>
            <wp:positionH relativeFrom="page">
              <wp:posOffset>4098290</wp:posOffset>
            </wp:positionH>
            <wp:positionV relativeFrom="paragraph">
              <wp:posOffset>177800</wp:posOffset>
            </wp:positionV>
            <wp:extent cx="1456690" cy="389890"/>
            <wp:wrapSquare wrapText="left"/>
            <wp:docPr id="2" name="Shape 2"/>
            <a:graphic xmlns:a="http://schemas.openxmlformats.org/drawingml/2006/main">
              <a:graphicData uri="http://schemas.openxmlformats.org/drawingml/2006/picture">
                <pic:pic xmlns:pic="http://schemas.openxmlformats.org/drawingml/2006/picture">
                  <pic:nvPicPr>
                    <pic:cNvPr id="3" name="Picture box 3"/>
                    <pic:cNvPicPr/>
                  </pic:nvPicPr>
                  <pic:blipFill>
                    <a:blip r:embed="rId7"/>
                    <a:stretch/>
                  </pic:blipFill>
                  <pic:spPr>
                    <a:xfrm>
                      <a:ext cx="1456690" cy="389890"/>
                    </a:xfrm>
                    <a:prstGeom prst="rect"/>
                  </pic:spPr>
                </pic:pic>
              </a:graphicData>
            </a:graphic>
          </wp:anchor>
        </w:drawing>
      </w:r>
      <w:r>
        <w:drawing>
          <wp:anchor distT="393065" distB="0" distL="114300" distR="114300" simplePos="0" relativeHeight="125829379" behindDoc="0" locked="0" layoutInCell="1" allowOverlap="1">
            <wp:simplePos x="0" y="0"/>
            <wp:positionH relativeFrom="page">
              <wp:posOffset>3175000</wp:posOffset>
            </wp:positionH>
            <wp:positionV relativeFrom="paragraph">
              <wp:posOffset>570865</wp:posOffset>
            </wp:positionV>
            <wp:extent cx="3657600" cy="1024255"/>
            <wp:wrapSquare wrapText="left"/>
            <wp:docPr id="4" name="Shape 4"/>
            <a:graphic xmlns:a="http://schemas.openxmlformats.org/drawingml/2006/main">
              <a:graphicData uri="http://schemas.openxmlformats.org/drawingml/2006/picture">
                <pic:pic xmlns:pic="http://schemas.openxmlformats.org/drawingml/2006/picture">
                  <pic:nvPicPr>
                    <pic:cNvPr id="5" name="Picture box 5"/>
                    <pic:cNvPicPr/>
                  </pic:nvPicPr>
                  <pic:blipFill>
                    <a:blip r:embed="rId9"/>
                    <a:stretch/>
                  </pic:blipFill>
                  <pic:spPr>
                    <a:xfrm>
                      <a:ext cx="3657600" cy="102425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5513070</wp:posOffset>
                </wp:positionH>
                <wp:positionV relativeFrom="paragraph">
                  <wp:posOffset>375920</wp:posOffset>
                </wp:positionV>
                <wp:extent cx="1307465" cy="189230"/>
                <wp:wrapNone/>
                <wp:docPr id="6" name="Shape 6"/>
                <a:graphic xmlns:a="http://schemas.openxmlformats.org/drawingml/2006/main">
                  <a:graphicData uri="http://schemas.microsoft.com/office/word/2010/wordprocessingShape">
                    <wps:wsp>
                      <wps:cNvSpPr txBox="1"/>
                      <wps:spPr>
                        <a:xfrm>
                          <a:ext cx="1307465" cy="1892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А.А. Ростиславова</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32" type="#_x0000_t202" style="position:absolute;margin-left:434.10000000000002pt;margin-top:29.600000000000001pt;width:102.95pt;height:14.9pt;z-index:25165772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А.А. Ростиславова</w:t>
                      </w:r>
                    </w:p>
                  </w:txbxContent>
                </v:textbox>
                <w10:wrap anchorx="page"/>
              </v:shape>
            </w:pict>
          </mc:Fallback>
        </mc:AlternateContent>
      </w:r>
      <w:r>
        <w:rPr>
          <w:color w:val="000000"/>
          <w:spacing w:val="0"/>
          <w:w w:val="100"/>
          <w:position w:val="0"/>
          <w:sz w:val="24"/>
          <w:szCs w:val="24"/>
          <w:shd w:val="clear" w:color="auto" w:fill="auto"/>
          <w:lang w:val="ru-RU" w:eastAsia="ru-RU" w:bidi="ru-RU"/>
        </w:rPr>
        <w:t>месяцев со дня его принятия.</w:t>
      </w:r>
    </w:p>
    <w:p>
      <w:pPr>
        <w:pStyle w:val="Style4"/>
        <w:keepNext w:val="0"/>
        <w:keepLines w:val="0"/>
        <w:widowControl w:val="0"/>
        <w:shd w:val="clear" w:color="auto" w:fill="auto"/>
        <w:bidi w:val="0"/>
        <w:spacing w:before="0" w:after="280" w:line="240" w:lineRule="auto"/>
        <w:ind w:left="0" w:right="0" w:firstLine="700"/>
        <w:jc w:val="both"/>
      </w:pPr>
      <w:r>
        <w:rPr>
          <w:color w:val="000000"/>
          <w:spacing w:val="0"/>
          <w:w w:val="100"/>
          <w:position w:val="0"/>
          <w:sz w:val="24"/>
          <w:szCs w:val="24"/>
          <w:shd w:val="clear" w:color="auto" w:fill="auto"/>
          <w:lang w:val="ru-RU" w:eastAsia="ru-RU" w:bidi="ru-RU"/>
        </w:rPr>
        <w:t>Председатель комиссии</w:t>
      </w:r>
    </w:p>
    <w:p>
      <w:pPr>
        <w:pStyle w:val="Style4"/>
        <w:keepNext w:val="0"/>
        <w:keepLines w:val="0"/>
        <w:widowControl w:val="0"/>
        <w:shd w:val="clear" w:color="auto" w:fill="auto"/>
        <w:bidi w:val="0"/>
        <w:spacing w:before="0" w:after="140" w:line="240" w:lineRule="auto"/>
        <w:ind w:left="0" w:right="0" w:firstLine="700"/>
        <w:jc w:val="both"/>
      </w:pPr>
      <w:r>
        <w:rPr>
          <w:color w:val="000000"/>
          <w:spacing w:val="0"/>
          <w:w w:val="100"/>
          <w:position w:val="0"/>
          <w:sz w:val="24"/>
          <w:szCs w:val="24"/>
          <w:shd w:val="clear" w:color="auto" w:fill="auto"/>
          <w:lang w:val="ru-RU" w:eastAsia="ru-RU" w:bidi="ru-RU"/>
        </w:rPr>
        <w:t>Члены комиссии:</w:t>
      </w:r>
    </w:p>
    <w:sectPr>
      <w:headerReference w:type="default" r:id="rId11"/>
      <w:headerReference w:type="first" r:id="rId12"/>
      <w:footnotePr>
        <w:pos w:val="pageBottom"/>
        <w:numFmt w:val="decimal"/>
        <w:numRestart w:val="continuous"/>
      </w:footnotePr>
      <w:pgSz w:w="11900" w:h="16840"/>
      <w:pgMar w:top="981" w:right="1056" w:bottom="1108" w:left="1062" w:header="0" w:footer="3" w:gutter="0"/>
      <w:pgNumType w:start="1"/>
      <w:cols w:space="720"/>
      <w:noEndnote/>
      <w:titlePg/>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6791960</wp:posOffset>
              </wp:positionH>
              <wp:positionV relativeFrom="page">
                <wp:posOffset>379095</wp:posOffset>
              </wp:positionV>
              <wp:extent cx="52070" cy="91440"/>
              <wp:wrapNone/>
              <wp:docPr id="8" name="Shape 8"/>
              <a:graphic xmlns:a="http://schemas.openxmlformats.org/drawingml/2006/main">
                <a:graphicData uri="http://schemas.microsoft.com/office/word/2010/wordprocessingShape">
                  <wps:wsp>
                    <wps:cNvSpPr txBox="1"/>
                    <wps:spPr>
                      <a:xfrm>
                        <a:ext cx="52070" cy="9144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19"/>
                              <w:szCs w:val="19"/>
                            </w:rPr>
                          </w:pPr>
                          <w:fldSimple w:instr=" PAGE \* MERGEFORMAT ">
                            <w:r>
                              <w:rPr>
                                <w:rFonts w:ascii="Arial" w:eastAsia="Arial" w:hAnsi="Arial" w:cs="Arial"/>
                                <w:color w:val="000000"/>
                                <w:spacing w:val="0"/>
                                <w:w w:val="100"/>
                                <w:position w:val="0"/>
                                <w:sz w:val="19"/>
                                <w:szCs w:val="19"/>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4" type="#_x0000_t202" style="position:absolute;margin-left:534.79999999999995pt;margin-top:29.850000000000001pt;width:4.0999999999999996pt;height:7.2000000000000002pt;z-index:-188744063;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19"/>
                        <w:szCs w:val="19"/>
                      </w:rPr>
                    </w:pPr>
                    <w:fldSimple w:instr=" PAGE \* MERGEFORMAT ">
                      <w:r>
                        <w:rPr>
                          <w:rFonts w:ascii="Arial" w:eastAsia="Arial" w:hAnsi="Arial" w:cs="Arial"/>
                          <w:color w:val="000000"/>
                          <w:spacing w:val="0"/>
                          <w:w w:val="100"/>
                          <w:position w:val="0"/>
                          <w:sz w:val="19"/>
                          <w:szCs w:val="19"/>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Подпись к картинке_"/>
    <w:basedOn w:val="DefaultParagraphFont"/>
    <w:link w:val="Style2"/>
    <w:rPr>
      <w:rFonts w:ascii="Times New Roman" w:eastAsia="Times New Roman" w:hAnsi="Times New Roman" w:cs="Times New Roman"/>
      <w:b w:val="0"/>
      <w:bCs w:val="0"/>
      <w:i w:val="0"/>
      <w:iCs w:val="0"/>
      <w:smallCaps w:val="0"/>
      <w:strike w:val="0"/>
      <w:u w:val="none"/>
    </w:rPr>
  </w:style>
  <w:style w:type="character" w:customStyle="1" w:styleId="CharStyle5">
    <w:name w:val="Основной текст_"/>
    <w:basedOn w:val="DefaultParagraphFont"/>
    <w:link w:val="Style4"/>
    <w:rPr>
      <w:rFonts w:ascii="Times New Roman" w:eastAsia="Times New Roman" w:hAnsi="Times New Roman" w:cs="Times New Roman"/>
      <w:b w:val="0"/>
      <w:bCs w:val="0"/>
      <w:i w:val="0"/>
      <w:iCs w:val="0"/>
      <w:smallCaps w:val="0"/>
      <w:strike w:val="0"/>
      <w:u w:val="none"/>
    </w:rPr>
  </w:style>
  <w:style w:type="character" w:customStyle="1" w:styleId="CharStyle9">
    <w:name w:val="Заголовок №1_"/>
    <w:basedOn w:val="DefaultParagraphFont"/>
    <w:link w:val="Style8"/>
    <w:rPr>
      <w:b w:val="0"/>
      <w:bCs w:val="0"/>
      <w:i w:val="0"/>
      <w:iCs w:val="0"/>
      <w:smallCaps w:val="0"/>
      <w:strike w:val="0"/>
      <w:sz w:val="28"/>
      <w:szCs w:val="28"/>
      <w:u w:val="none"/>
    </w:rPr>
  </w:style>
  <w:style w:type="character" w:customStyle="1" w:styleId="CharStyle12">
    <w:name w:val="Колонтитул (2)_"/>
    <w:basedOn w:val="DefaultParagraphFont"/>
    <w:link w:val="Style11"/>
    <w:rPr>
      <w:rFonts w:ascii="Times New Roman" w:eastAsia="Times New Roman" w:hAnsi="Times New Roman" w:cs="Times New Roman"/>
      <w:b w:val="0"/>
      <w:bCs w:val="0"/>
      <w:i w:val="0"/>
      <w:iCs w:val="0"/>
      <w:smallCaps w:val="0"/>
      <w:strike w:val="0"/>
      <w:sz w:val="20"/>
      <w:szCs w:val="20"/>
      <w:u w:val="none"/>
    </w:rPr>
  </w:style>
  <w:style w:type="paragraph" w:customStyle="1" w:styleId="Style2">
    <w:name w:val="Подпись к картинке"/>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u w:val="none"/>
    </w:rPr>
  </w:style>
  <w:style w:type="paragraph" w:customStyle="1" w:styleId="Style4">
    <w:name w:val="Основной текст"/>
    <w:basedOn w:val="Normal"/>
    <w:link w:val="CharStyle5"/>
    <w:pPr>
      <w:widowControl w:val="0"/>
      <w:shd w:val="clear" w:color="auto" w:fill="auto"/>
      <w:spacing w:line="254" w:lineRule="auto"/>
      <w:ind w:firstLine="400"/>
    </w:pPr>
    <w:rPr>
      <w:rFonts w:ascii="Times New Roman" w:eastAsia="Times New Roman" w:hAnsi="Times New Roman" w:cs="Times New Roman"/>
      <w:b w:val="0"/>
      <w:bCs w:val="0"/>
      <w:i w:val="0"/>
      <w:iCs w:val="0"/>
      <w:smallCaps w:val="0"/>
      <w:strike w:val="0"/>
      <w:u w:val="none"/>
    </w:rPr>
  </w:style>
  <w:style w:type="paragraph" w:customStyle="1" w:styleId="Style8">
    <w:name w:val="Заголовок №1"/>
    <w:basedOn w:val="Normal"/>
    <w:link w:val="CharStyle9"/>
    <w:pPr>
      <w:widowControl w:val="0"/>
      <w:shd w:val="clear" w:color="auto" w:fill="auto"/>
      <w:spacing w:line="214" w:lineRule="auto"/>
      <w:ind w:left="4800" w:hanging="60"/>
      <w:outlineLvl w:val="0"/>
    </w:pPr>
    <w:rPr>
      <w:b w:val="0"/>
      <w:bCs w:val="0"/>
      <w:i w:val="0"/>
      <w:iCs w:val="0"/>
      <w:smallCaps w:val="0"/>
      <w:strike w:val="0"/>
      <w:sz w:val="28"/>
      <w:szCs w:val="28"/>
      <w:u w:val="none"/>
    </w:rPr>
  </w:style>
  <w:style w:type="paragraph" w:customStyle="1" w:styleId="Style11">
    <w:name w:val="Колонтитул (2)"/>
    <w:basedOn w:val="Normal"/>
    <w:link w:val="CharStyle12"/>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header" Target="header1.xml"/><Relationship Id="rId12" Type="http://schemas.openxmlformats.org/officeDocument/2006/relationships/header" Target="header2.xml"/></Relationships>
</file>