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74750" distR="1120775" simplePos="0" relativeHeight="125829378" behindDoc="0" locked="0" layoutInCell="1" allowOverlap="1">
            <wp:simplePos x="0" y="0"/>
            <wp:positionH relativeFrom="page">
              <wp:posOffset>1779905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719455</wp:posOffset>
                </wp:positionH>
                <wp:positionV relativeFrom="paragraph">
                  <wp:posOffset>622300</wp:posOffset>
                </wp:positionV>
                <wp:extent cx="2578735" cy="2160905"/>
                <wp:wrapSquare wrapText="right"/>
                <wp:docPr id="3" name="Shape 3"/>
                <a:graphic xmlns:a="http://schemas.openxmlformats.org/drawingml/2006/main">
                  <a:graphicData uri="http://schemas.microsoft.com/office/word/2010/wordprocessingShape">
                    <wps:wsp>
                      <wps:cNvSpPr txBox="1"/>
                      <wps:spPr>
                        <a:xfrm>
                          <a:ext cx="2578735" cy="2160905"/>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649999999999999pt;margin-top:49.pt;width:203.05000000000001pt;height:170.15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Филиал «Мособлводхоз»</w: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хакирИ_то8оЫ@Ък.гн</w: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ООО ЧОП «Статус»</w:t>
      </w:r>
    </w:p>
    <w:p>
      <w:pPr>
        <w:pStyle w:val="Style6"/>
        <w:keepNext w:val="0"/>
        <w:keepLines w:val="0"/>
        <w:widowControl w:val="0"/>
        <w:shd w:val="clear" w:color="auto" w:fill="auto"/>
        <w:bidi w:val="0"/>
        <w:spacing w:before="0" w:after="0" w:line="240" w:lineRule="auto"/>
        <w:ind w:left="1040" w:right="0" w:firstLine="0"/>
        <w:jc w:val="both"/>
      </w:pPr>
      <w:r>
        <w:rPr>
          <w:color w:val="000000"/>
          <w:spacing w:val="0"/>
          <w:w w:val="100"/>
          <w:position w:val="0"/>
          <w:shd w:val="clear" w:color="auto" w:fill="auto"/>
          <w:lang w:val="ru-RU" w:eastAsia="ru-RU" w:bidi="ru-RU"/>
        </w:rPr>
        <w:t>В1аН18-8есип1у@уа.П1;</w:t>
      </w:r>
    </w:p>
    <w:p>
      <w:pPr>
        <w:pStyle w:val="Style6"/>
        <w:keepNext w:val="0"/>
        <w:keepLines w:val="0"/>
        <w:widowControl w:val="0"/>
        <w:shd w:val="clear" w:color="auto" w:fill="auto"/>
        <w:bidi w:val="0"/>
        <w:spacing w:before="0" w:after="2360" w:line="240" w:lineRule="auto"/>
        <w:ind w:left="1040" w:right="0" w:firstLine="0"/>
        <w:jc w:val="both"/>
      </w:pPr>
      <w:r>
        <w:rPr>
          <w:color w:val="000000"/>
          <w:spacing w:val="0"/>
          <w:w w:val="100"/>
          <w:position w:val="0"/>
          <w:shd w:val="clear" w:color="auto" w:fill="auto"/>
          <w:lang w:val="ru-RU" w:eastAsia="ru-RU" w:bidi="ru-RU"/>
        </w:rPr>
        <w:t>81аН1820)0)8@тЬох.П1</w:t>
      </w:r>
    </w:p>
    <w:p>
      <w:pPr>
        <w:pStyle w:val="Style11"/>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077/06/106-26165-ЭП/23/2023 о нарушении</w:t>
        <w:br/>
        <w:t>законодательства о контрактной системе</w:t>
      </w:r>
    </w:p>
    <w:p>
      <w:pPr>
        <w:pStyle w:val="Style6"/>
        <w:keepNext w:val="0"/>
        <w:keepLines w:val="0"/>
        <w:widowControl w:val="0"/>
        <w:shd w:val="clear" w:color="auto" w:fill="auto"/>
        <w:tabs>
          <w:tab w:pos="8952" w:val="left"/>
        </w:tabs>
        <w:bidi w:val="0"/>
        <w:spacing w:before="0" w:after="0" w:line="240" w:lineRule="auto"/>
        <w:ind w:left="0" w:right="0" w:firstLine="0"/>
        <w:jc w:val="both"/>
      </w:pPr>
      <w:r>
        <w:rPr>
          <w:b/>
          <w:bCs/>
          <w:color w:val="000000"/>
          <w:spacing w:val="0"/>
          <w:w w:val="100"/>
          <w:position w:val="0"/>
          <w:shd w:val="clear" w:color="auto" w:fill="auto"/>
          <w:lang w:val="ru-RU" w:eastAsia="ru-RU" w:bidi="ru-RU"/>
        </w:rPr>
        <w:t>02.05.2023</w:t>
        <w:tab/>
        <w:t>г. Москва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К.А. Сомова,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Н.А. Узкого,</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Филиала «Мособлводхоз» З.Х Гочияева (дов.№45 от 18.04.2023),</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ЧОП «Статус»: Н.В. Якимченко (ген.дир.),</w:t>
      </w:r>
    </w:p>
    <w:p>
      <w:pPr>
        <w:pStyle w:val="Style6"/>
        <w:keepNext w:val="0"/>
        <w:keepLines w:val="0"/>
        <w:widowControl w:val="0"/>
        <w:shd w:val="clear" w:color="auto" w:fill="auto"/>
        <w:bidi w:val="0"/>
        <w:spacing w:before="0" w:after="360" w:line="240" w:lineRule="auto"/>
        <w:ind w:left="0" w:right="0" w:firstLine="720"/>
        <w:jc w:val="both"/>
      </w:pPr>
      <w:r>
        <w:rPr>
          <w:color w:val="000000"/>
          <w:spacing w:val="0"/>
          <w:w w:val="100"/>
          <w:position w:val="0"/>
          <w:shd w:val="clear" w:color="auto" w:fill="auto"/>
          <w:lang w:val="ru-RU" w:eastAsia="ru-RU" w:bidi="ru-RU"/>
        </w:rPr>
        <w:t>рассмотрев жалобу ООО ЧОП «Статус» (далее — Заявитель) на действия Филиала «Мособлводхоз» (далее — Заказчик) при проведении открытого конкурса в электронной форме на право заключения государственного контракта на оказание услуг частной охраны для нужд филиала «Мособлводхоз» ФГБВУ «Центррегионводхоз» (Закупка № 0373400009623000029) (далее — конкурс), в соответствии с Федеральным законом от 05.04.2013 №44-ФЗ «О контрактной</w:t>
      </w:r>
    </w:p>
    <w:p>
      <w:pPr>
        <w:pStyle w:val="Style14"/>
        <w:keepNext w:val="0"/>
        <w:keepLines w:val="0"/>
        <w:widowControl w:val="0"/>
        <w:shd w:val="clear" w:color="auto" w:fill="auto"/>
        <w:bidi w:val="0"/>
        <w:spacing w:before="0" w:line="240" w:lineRule="auto"/>
        <w:ind w:left="0" w:right="0"/>
        <w:jc w:val="both"/>
      </w:pPr>
      <w:r>
        <w:rPr>
          <w:color w:val="000000"/>
          <w:spacing w:val="0"/>
          <w:w w:val="100"/>
          <w:position w:val="0"/>
          <w:shd w:val="clear" w:color="auto" w:fill="auto"/>
          <w:lang w:val="ru-RU" w:eastAsia="ru-RU" w:bidi="ru-RU"/>
        </w:rPr>
        <w:t>||||||||||||||||||||||||||||</w:t>
      </w:r>
    </w:p>
    <w:p>
      <w:pPr>
        <w:pStyle w:val="Style6"/>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конкурса.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результатам рассмотрения жалоб, рассмотрев представленные документы и сведения, запрашиваемые письмом Московского УФАС России от 25.04.2023 № ЕИ/18217/23,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40"/>
        <w:jc w:val="both"/>
      </w:pPr>
      <w:r>
        <w:rPr>
          <w:color w:val="00000A"/>
          <w:spacing w:val="0"/>
          <w:w w:val="100"/>
          <w:position w:val="0"/>
          <w:shd w:val="clear" w:color="auto" w:fill="auto"/>
          <w:lang w:val="ru-RU" w:eastAsia="ru-RU" w:bidi="ru-RU"/>
        </w:rPr>
        <w:t>Заявитель обжалует действия конкурсной комиссий Заказчика в части оценки заявки ООО ЧОП «Статус» в нарушение установленного в конкурсной документации порядка оценки заявок по показателю «Наличие у участников закупки опыта поставки товара, выполнения работы, оказания услуги, связанного с предметом контракта» нестоимостного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ч.6 ст.106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п.3 и п.4 ч.1 ст.32 Закона о контрактной системе критериями оценки этих заявок, окончательных предложений.</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предмет жалобы о присвоении результатов оценки по критерию «</w:t>
      </w:r>
      <w:r>
        <w:rPr>
          <w:color w:val="00000A"/>
          <w:spacing w:val="0"/>
          <w:w w:val="100"/>
          <w:position w:val="0"/>
          <w:shd w:val="clear" w:color="auto" w:fill="auto"/>
          <w:lang w:val="ru-RU" w:eastAsia="ru-RU" w:bidi="ru-RU"/>
        </w:rPr>
        <w:t xml:space="preserve">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w:t>
      </w:r>
      <w:r>
        <w:rPr>
          <w:color w:val="000000"/>
          <w:spacing w:val="0"/>
          <w:w w:val="100"/>
          <w:position w:val="0"/>
          <w:shd w:val="clear" w:color="auto" w:fill="auto"/>
          <w:lang w:val="ru-RU" w:eastAsia="ru-RU" w:bidi="ru-RU"/>
        </w:rPr>
        <w:t>не относится к компетенции Комиссии Управления, и обжаловать такие результаты оценки заявок возможно исключительно в судебном порядке.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Комиссией Управления проводится проверка действий конкурсной комиссии Заказчика в части применения установленного в конкурсной документации порядка оценки заявок на участие в конкурсе.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Ч.1 ст.32 Закона о контрактной системе установлено, что для оценки заявок, окончательных предложений участников закупки Заказчик в документации о закупке устанавливает следующие критерии:</w:t>
      </w:r>
    </w:p>
    <w:p>
      <w:pPr>
        <w:pStyle w:val="Style6"/>
        <w:keepNext w:val="0"/>
        <w:keepLines w:val="0"/>
        <w:widowControl w:val="0"/>
        <w:numPr>
          <w:ilvl w:val="0"/>
          <w:numId w:val="1"/>
        </w:numPr>
        <w:shd w:val="clear" w:color="auto" w:fill="auto"/>
        <w:tabs>
          <w:tab w:pos="111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цена контракта;</w:t>
      </w:r>
    </w:p>
    <w:p>
      <w:pPr>
        <w:pStyle w:val="Style6"/>
        <w:keepNext w:val="0"/>
        <w:keepLines w:val="0"/>
        <w:widowControl w:val="0"/>
        <w:numPr>
          <w:ilvl w:val="0"/>
          <w:numId w:val="1"/>
        </w:numPr>
        <w:shd w:val="clear" w:color="auto" w:fill="auto"/>
        <w:tabs>
          <w:tab w:pos="113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6"/>
        <w:keepNext w:val="0"/>
        <w:keepLines w:val="0"/>
        <w:widowControl w:val="0"/>
        <w:numPr>
          <w:ilvl w:val="0"/>
          <w:numId w:val="1"/>
        </w:numPr>
        <w:shd w:val="clear" w:color="auto" w:fill="auto"/>
        <w:tabs>
          <w:tab w:pos="113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6"/>
        <w:keepNext w:val="0"/>
        <w:keepLines w:val="0"/>
        <w:widowControl w:val="0"/>
        <w:numPr>
          <w:ilvl w:val="0"/>
          <w:numId w:val="1"/>
        </w:numPr>
        <w:shd w:val="clear" w:color="auto" w:fill="auto"/>
        <w:tabs>
          <w:tab w:pos="113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w:t>
      </w:r>
      <w:r>
        <w:rPr>
          <w:color w:val="000000"/>
          <w:spacing w:val="0"/>
          <w:w w:val="100"/>
          <w:position w:val="0"/>
          <w:shd w:val="clear" w:color="auto" w:fill="auto"/>
          <w:lang w:val="ru-RU" w:eastAsia="ru-RU" w:bidi="ru-RU"/>
        </w:rPr>
        <w:t>и деловой репутации, специалистов и иных работников определенного уровня квалификации.</w:t>
      </w:r>
    </w:p>
    <w:p>
      <w:pPr>
        <w:pStyle w:val="Style6"/>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п.11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6"/>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ч.8 ст.32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2 ч.1 ст.32 Закона о контрактной системе.</w:t>
      </w:r>
    </w:p>
    <w:p>
      <w:pPr>
        <w:pStyle w:val="Style6"/>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соответствии с конкурсной документацией оценка заявок производится в соответствии с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pPr>
        <w:pStyle w:val="Style6"/>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ч.4 ст.24 Закона о контрактной системе победителем конкурса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соответствии с п.24 Порядка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6"/>
        <w:keepNext w:val="0"/>
        <w:keepLines w:val="0"/>
        <w:widowControl w:val="0"/>
        <w:numPr>
          <w:ilvl w:val="0"/>
          <w:numId w:val="3"/>
        </w:numPr>
        <w:shd w:val="clear" w:color="auto" w:fill="auto"/>
        <w:tabs>
          <w:tab w:pos="1125"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наличие у участников закупки финансовых ресурсов;</w:t>
      </w:r>
    </w:p>
    <w:p>
      <w:pPr>
        <w:pStyle w:val="Style6"/>
        <w:keepNext w:val="0"/>
        <w:keepLines w:val="0"/>
        <w:widowControl w:val="0"/>
        <w:numPr>
          <w:ilvl w:val="0"/>
          <w:numId w:val="3"/>
        </w:numPr>
        <w:shd w:val="clear" w:color="auto" w:fill="auto"/>
        <w:tabs>
          <w:tab w:pos="1119"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6"/>
        <w:keepNext w:val="0"/>
        <w:keepLines w:val="0"/>
        <w:widowControl w:val="0"/>
        <w:numPr>
          <w:ilvl w:val="0"/>
          <w:numId w:val="3"/>
        </w:numPr>
        <w:shd w:val="clear" w:color="auto" w:fill="auto"/>
        <w:tabs>
          <w:tab w:pos="1109"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6"/>
        <w:keepNext w:val="0"/>
        <w:keepLines w:val="0"/>
        <w:widowControl w:val="0"/>
        <w:numPr>
          <w:ilvl w:val="0"/>
          <w:numId w:val="3"/>
        </w:numPr>
        <w:shd w:val="clear" w:color="auto" w:fill="auto"/>
        <w:tabs>
          <w:tab w:pos="1121"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наличие у участников закупки деловой репутации;</w:t>
      </w:r>
    </w:p>
    <w:p>
      <w:pPr>
        <w:pStyle w:val="Style6"/>
        <w:keepNext w:val="0"/>
        <w:keepLines w:val="0"/>
        <w:widowControl w:val="0"/>
        <w:numPr>
          <w:ilvl w:val="0"/>
          <w:numId w:val="3"/>
        </w:numPr>
        <w:shd w:val="clear" w:color="auto" w:fill="auto"/>
        <w:tabs>
          <w:tab w:pos="1214"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6"/>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п.25 Порядка для оценки заявок по показателям оценки, предусмотренным пунктом 24 Положения, применяются детализирующие показатели.</w:t>
      </w:r>
    </w:p>
    <w:p>
      <w:pPr>
        <w:pStyle w:val="Style6"/>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Комиссией Управления определено, что согласно конкурсной документации </w:t>
      </w:r>
      <w:r>
        <w:rPr>
          <w:color w:val="000000"/>
          <w:spacing w:val="0"/>
          <w:w w:val="100"/>
          <w:position w:val="0"/>
          <w:shd w:val="clear" w:color="auto" w:fill="auto"/>
          <w:lang w:val="ru-RU" w:eastAsia="ru-RU" w:bidi="ru-RU"/>
        </w:rPr>
        <w:t>Заказчиком установлен в том числе следующий порядок оценки заявок по показателю «Наличие у участников закупки опыта поставки товара, выполнения работы, оказания услуги, связанного с предметом контракта»:</w:t>
      </w:r>
    </w:p>
    <w:p>
      <w:pPr>
        <w:pStyle w:val="Style6"/>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w:t>
      </w:r>
      <w:r>
        <w:rPr>
          <w:i/>
          <w:iCs/>
          <w:color w:val="000000"/>
          <w:spacing w:val="0"/>
          <w:w w:val="100"/>
          <w:position w:val="0"/>
          <w:shd w:val="clear" w:color="auto" w:fill="auto"/>
          <w:lang w:val="ru-RU" w:eastAsia="ru-RU" w:bidi="ru-RU"/>
        </w:rPr>
        <w:t>Оценка заявок осуществляется по формуле, предусмотренной подпунктом «б» пункта 20 Положения.</w:t>
      </w:r>
    </w:p>
    <w:p>
      <w:pPr>
        <w:pStyle w:val="Style6"/>
        <w:keepNext w:val="0"/>
        <w:keepLines w:val="0"/>
        <w:widowControl w:val="0"/>
        <w:shd w:val="clear" w:color="auto" w:fill="auto"/>
        <w:bidi w:val="0"/>
        <w:spacing w:before="0" w:after="220" w:line="240" w:lineRule="auto"/>
        <w:ind w:left="0" w:right="0" w:firstLine="760"/>
        <w:jc w:val="both"/>
      </w:pPr>
      <w:r>
        <w:rPr>
          <w:i/>
          <w:iCs/>
          <w:color w:val="000000"/>
          <w:spacing w:val="0"/>
          <w:w w:val="100"/>
          <w:position w:val="0"/>
          <w:shd w:val="clear" w:color="auto" w:fill="auto"/>
          <w:lang w:val="ru-RU" w:eastAsia="ru-RU" w:bidi="ru-RU"/>
        </w:rPr>
        <w:t>Значение количества баллов по детализирующему показателю, присваиваемых заявке, подлежащей в соответствии с Федеральным законом №44- ФЗ оценке по критерию оценки "квалификация участников закупки" (БХ1), рассчитывается по формуле:</w:t>
      </w:r>
    </w:p>
    <w:p>
      <w:pPr>
        <w:pStyle w:val="Style6"/>
        <w:keepNext w:val="0"/>
        <w:keepLines w:val="0"/>
        <w:widowControl w:val="0"/>
        <w:shd w:val="clear" w:color="auto" w:fill="auto"/>
        <w:tabs>
          <w:tab w:pos="3549" w:val="left"/>
        </w:tabs>
        <w:bidi w:val="0"/>
        <w:spacing w:before="0" w:after="0" w:line="240" w:lineRule="auto"/>
        <w:ind w:left="0" w:right="0" w:firstLine="520"/>
        <w:jc w:val="left"/>
        <w:rPr>
          <w:sz w:val="26"/>
          <w:szCs w:val="26"/>
        </w:rPr>
      </w:pPr>
      <w:r>
        <w:rPr>
          <w:color w:val="000000"/>
          <w:spacing w:val="0"/>
          <w:w w:val="100"/>
          <w:position w:val="0"/>
          <w:sz w:val="26"/>
          <w:szCs w:val="26"/>
          <w:shd w:val="clear" w:color="auto" w:fill="auto"/>
          <w:lang w:val="ru-RU" w:eastAsia="ru-RU" w:bidi="ru-RU"/>
        </w:rPr>
        <w:t xml:space="preserve">БХ </w:t>
      </w:r>
      <w:r>
        <w:rPr>
          <w:color w:val="000000"/>
          <w:spacing w:val="0"/>
          <w:w w:val="100"/>
          <w:position w:val="0"/>
          <w:sz w:val="38"/>
          <w:szCs w:val="38"/>
          <w:shd w:val="clear" w:color="auto" w:fill="auto"/>
          <w:lang w:val="ru-RU" w:eastAsia="ru-RU" w:bidi="ru-RU"/>
        </w:rPr>
        <w:t>(</w:t>
      </w:r>
      <w:r>
        <w:rPr>
          <w:color w:val="000000"/>
          <w:spacing w:val="0"/>
          <w:w w:val="100"/>
          <w:position w:val="0"/>
          <w:sz w:val="26"/>
          <w:szCs w:val="26"/>
          <w:shd w:val="clear" w:color="auto" w:fill="auto"/>
          <w:lang w:val="ru-RU" w:eastAsia="ru-RU" w:bidi="ru-RU"/>
        </w:rPr>
        <w:t>Х</w:t>
      </w:r>
      <w:r>
        <w:rPr>
          <w:color w:val="000000"/>
          <w:spacing w:val="0"/>
          <w:w w:val="100"/>
          <w:position w:val="0"/>
          <w:sz w:val="15"/>
          <w:szCs w:val="15"/>
          <w:shd w:val="clear" w:color="auto" w:fill="auto"/>
          <w:lang w:val="ru-RU" w:eastAsia="ru-RU" w:bidi="ru-RU"/>
        </w:rPr>
        <w:t>,</w:t>
      </w:r>
      <w:r>
        <w:rPr>
          <w:color w:val="000000"/>
          <w:spacing w:val="0"/>
          <w:w w:val="100"/>
          <w:position w:val="0"/>
          <w:sz w:val="26"/>
          <w:szCs w:val="26"/>
          <w:shd w:val="clear" w:color="auto" w:fill="auto"/>
          <w:lang w:val="ru-RU" w:eastAsia="ru-RU" w:bidi="ru-RU"/>
        </w:rPr>
        <w:t>-Х</w:t>
      </w:r>
      <w:r>
        <w:rPr>
          <w:color w:val="000000"/>
          <w:spacing w:val="0"/>
          <w:w w:val="100"/>
          <w:position w:val="0"/>
          <w:sz w:val="15"/>
          <w:szCs w:val="15"/>
          <w:shd w:val="clear" w:color="auto" w:fill="auto"/>
          <w:lang w:val="ru-RU" w:eastAsia="ru-RU" w:bidi="ru-RU"/>
        </w:rPr>
        <w:t>т,п</w:t>
      </w:r>
      <w:r>
        <w:rPr>
          <w:color w:val="000000"/>
          <w:spacing w:val="0"/>
          <w:w w:val="100"/>
          <w:position w:val="0"/>
          <w:sz w:val="38"/>
          <w:szCs w:val="38"/>
          <w:shd w:val="clear" w:color="auto" w:fill="auto"/>
          <w:lang w:val="ru-RU" w:eastAsia="ru-RU" w:bidi="ru-RU"/>
        </w:rPr>
        <w:t xml:space="preserve">) </w:t>
      </w:r>
      <w:r>
        <w:rPr>
          <w:color w:val="000000"/>
          <w:spacing w:val="0"/>
          <w:w w:val="100"/>
          <w:position w:val="0"/>
          <w:sz w:val="26"/>
          <w:szCs w:val="26"/>
          <w:shd w:val="clear" w:color="auto" w:fill="auto"/>
          <w:lang w:val="ru-RU" w:eastAsia="ru-RU" w:bidi="ru-RU"/>
        </w:rPr>
        <w:t>&gt;</w:t>
      </w:r>
      <w:r>
        <w:rPr>
          <w:strike/>
          <w:color w:val="000000"/>
          <w:spacing w:val="0"/>
          <w:w w:val="100"/>
          <w:position w:val="0"/>
          <w:sz w:val="26"/>
          <w:szCs w:val="26"/>
          <w:shd w:val="clear" w:color="auto" w:fill="auto"/>
          <w:lang w:val="ru-RU" w:eastAsia="ru-RU" w:bidi="ru-RU"/>
        </w:rPr>
        <w:t xml:space="preserve">Х </w:t>
      </w:r>
      <w:r>
        <w:rPr>
          <w:strike/>
          <w:color w:val="000000"/>
          <w:spacing w:val="0"/>
          <w:w w:val="100"/>
          <w:position w:val="0"/>
          <w:sz w:val="44"/>
          <w:szCs w:val="44"/>
          <w:shd w:val="clear" w:color="auto" w:fill="auto"/>
          <w:vertAlign w:val="superscript"/>
          <w:lang w:val="ru-RU" w:eastAsia="ru-RU" w:bidi="ru-RU"/>
        </w:rPr>
        <w:t>1100</w:t>
      </w:r>
      <w:r>
        <w:rPr>
          <w:color w:val="000000"/>
          <w:spacing w:val="0"/>
          <w:w w:val="100"/>
          <w:position w:val="0"/>
          <w:sz w:val="26"/>
          <w:szCs w:val="26"/>
          <w:shd w:val="clear" w:color="auto" w:fill="auto"/>
          <w:lang w:val="ru-RU" w:eastAsia="ru-RU" w:bidi="ru-RU"/>
        </w:rPr>
        <w:tab/>
        <w:t>;</w:t>
      </w:r>
    </w:p>
    <w:p>
      <w:pPr>
        <w:pStyle w:val="Style24"/>
        <w:keepNext w:val="0"/>
        <w:keepLines w:val="0"/>
        <w:widowControl w:val="0"/>
        <w:shd w:val="clear" w:color="auto" w:fill="auto"/>
        <w:tabs>
          <w:tab w:pos="562" w:val="left"/>
        </w:tabs>
        <w:bidi w:val="0"/>
        <w:spacing w:before="0" w:line="240" w:lineRule="auto"/>
        <w:ind w:left="0" w:right="0" w:firstLine="0"/>
        <w:jc w:val="center"/>
      </w:pPr>
      <w:r>
        <w:rPr>
          <w:color w:val="000000"/>
          <w:spacing w:val="0"/>
          <w:w w:val="100"/>
          <w:position w:val="0"/>
          <w:shd w:val="clear" w:color="auto" w:fill="auto"/>
          <w:lang w:val="ru-RU" w:eastAsia="ru-RU" w:bidi="ru-RU"/>
        </w:rPr>
        <w:t>1тах</w:t>
        <w:tab/>
        <w:t>1пт</w:t>
      </w:r>
    </w:p>
    <w:p>
      <w:pPr>
        <w:pStyle w:val="Style6"/>
        <w:keepNext w:val="0"/>
        <w:keepLines w:val="0"/>
        <w:widowControl w:val="0"/>
        <w:shd w:val="clear" w:color="auto" w:fill="auto"/>
        <w:bidi w:val="0"/>
        <w:spacing w:before="0" w:after="0" w:line="240" w:lineRule="auto"/>
        <w:ind w:left="0" w:right="0"/>
        <w:jc w:val="both"/>
      </w:pPr>
      <w:r>
        <w:rPr>
          <w:i/>
          <w:iCs/>
          <w:color w:val="000000"/>
          <w:spacing w:val="0"/>
          <w:w w:val="100"/>
          <w:position w:val="0"/>
          <w:shd w:val="clear" w:color="auto" w:fill="auto"/>
          <w:lang w:val="ru-RU" w:eastAsia="ru-RU" w:bidi="ru-RU"/>
        </w:rPr>
        <w:t>где:</w:t>
      </w:r>
    </w:p>
    <w:p>
      <w:pPr>
        <w:pStyle w:val="Style6"/>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Хтах - максимальное значение, содержащееся в заявках (частях заявок), подлежащих в соответствии с Федеральным законом №44-ФЗ оценке по критерию оценки "квалификация участников закупки ";</w:t>
      </w:r>
    </w:p>
    <w:p>
      <w:pPr>
        <w:pStyle w:val="Style6"/>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Х1 - значение, содержащееся в предложении участника закупки, заявка (часть заявки) которого подлежит в соответствии с Федеральным законом №44- ФЗ оценке по критерию оценки "квалификация участников закупки";</w:t>
      </w:r>
    </w:p>
    <w:p>
      <w:pPr>
        <w:pStyle w:val="Style6"/>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Хтт - минимальное значение, содержащееся в заявках (частях заявок), подлежащих в соответствии с Федеральным законом №44-ФЗ оценке по критерию оценки «квалификация участников закупки».</w:t>
      </w:r>
    </w:p>
    <w:p>
      <w:pPr>
        <w:pStyle w:val="Style6"/>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 (подпункт в пункта 8 Положения)</w:t>
      </w:r>
      <w:r>
        <w:rPr>
          <w:color w:val="000000"/>
          <w:spacing w:val="0"/>
          <w:w w:val="100"/>
          <w:position w:val="0"/>
          <w:shd w:val="clear" w:color="auto" w:fill="auto"/>
          <w:lang w:val="ru-RU" w:eastAsia="ru-RU" w:bidi="ru-RU"/>
        </w:rPr>
        <w:t xml:space="preserve"> ».</w:t>
      </w:r>
    </w:p>
    <w:p>
      <w:pPr>
        <w:pStyle w:val="Style6"/>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280" w:line="240" w:lineRule="auto"/>
        <w:ind w:left="0" w:right="0" w:firstLine="760"/>
        <w:jc w:val="both"/>
      </w:pPr>
      <w:r>
        <w:rPr>
          <w:color w:val="000000"/>
          <w:spacing w:val="0"/>
          <w:w w:val="100"/>
          <w:position w:val="0"/>
          <w:shd w:val="clear" w:color="auto" w:fill="auto"/>
          <w:lang w:val="ru-RU" w:eastAsia="ru-RU" w:bidi="ru-RU"/>
        </w:rPr>
        <w:t>В составе жалобы Заявитель указывает, что заявка ООО ЧОП «Статус» по показателю «Наличие у участников закупки опыта поставки товара, выполнения работы, оказания услуги, связанного с предметом контракта» нестоимостного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неправомерно оценена в 0 баллов несмотря на то, что участником представлены сведения о наличии 17 договоров на общую сумму 292 922 054, 23 руб., которые полностью соответствуют установленному порядку оценки.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 силу ч.1 ст.106 Закона о контрактной системе лица, права и законные </w:t>
      </w:r>
      <w:r>
        <w:rPr>
          <w:color w:val="000000"/>
          <w:spacing w:val="0"/>
          <w:w w:val="100"/>
          <w:position w:val="0"/>
          <w:shd w:val="clear" w:color="auto" w:fill="auto"/>
          <w:lang w:val="ru-RU" w:eastAsia="ru-RU" w:bidi="ru-RU"/>
        </w:rPr>
        <w:t>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Не согласившись с доводами жалобы, представитель Заказчика пояснил, что закупочной комиссией Заказчика приняты к учету представленные в составе заявки Заявителя договора на заявленную сумму.</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ввиду того, что данная сумма является минимальной из предложенных иными участниками закупки, такое значения принято как Хтт.</w:t>
      </w:r>
    </w:p>
    <w:p>
      <w:pPr>
        <w:pStyle w:val="Style6"/>
        <w:keepNext w:val="0"/>
        <w:keepLines w:val="0"/>
        <w:widowControl w:val="0"/>
        <w:shd w:val="clear" w:color="auto" w:fill="auto"/>
        <w:tabs>
          <w:tab w:pos="7085" w:val="left"/>
        </w:tabs>
        <w:bidi w:val="0"/>
        <w:spacing w:before="0" w:after="0" w:line="408" w:lineRule="auto"/>
        <w:ind w:left="4920" w:right="0" w:hanging="4200"/>
        <w:jc w:val="both"/>
        <w:rPr>
          <w:sz w:val="26"/>
          <w:szCs w:val="26"/>
        </w:rPr>
      </w:pPr>
      <w:r>
        <w:rPr>
          <w:color w:val="000000"/>
          <w:spacing w:val="0"/>
          <w:w w:val="100"/>
          <w:position w:val="0"/>
          <w:sz w:val="28"/>
          <w:szCs w:val="28"/>
          <w:shd w:val="clear" w:color="auto" w:fill="auto"/>
          <w:lang w:val="ru-RU" w:eastAsia="ru-RU" w:bidi="ru-RU"/>
        </w:rPr>
        <w:t xml:space="preserve">Таким образом, при учете указанных значений показателя опыта участника </w:t>
      </w:r>
      <w:r>
        <w:rPr>
          <w:color w:val="000000"/>
          <w:spacing w:val="0"/>
          <w:w w:val="100"/>
          <w:position w:val="0"/>
          <w:sz w:val="26"/>
          <w:szCs w:val="26"/>
          <w:shd w:val="clear" w:color="auto" w:fill="auto"/>
          <w:lang w:val="ru-RU" w:eastAsia="ru-RU" w:bidi="ru-RU"/>
        </w:rPr>
        <w:t xml:space="preserve">БХ </w:t>
      </w:r>
      <w:r>
        <w:rPr>
          <w:color w:val="000000"/>
          <w:spacing w:val="0"/>
          <w:w w:val="100"/>
          <w:position w:val="0"/>
          <w:sz w:val="38"/>
          <w:szCs w:val="38"/>
          <w:shd w:val="clear" w:color="auto" w:fill="auto"/>
          <w:lang w:val="ru-RU" w:eastAsia="ru-RU" w:bidi="ru-RU"/>
        </w:rPr>
        <w:t>(</w:t>
      </w:r>
      <w:r>
        <w:rPr>
          <w:color w:val="000000"/>
          <w:spacing w:val="0"/>
          <w:w w:val="100"/>
          <w:position w:val="0"/>
          <w:sz w:val="26"/>
          <w:szCs w:val="26"/>
          <w:shd w:val="clear" w:color="auto" w:fill="auto"/>
          <w:vertAlign w:val="superscript"/>
          <w:lang w:val="ru-RU" w:eastAsia="ru-RU" w:bidi="ru-RU"/>
        </w:rPr>
        <w:t>Х</w:t>
      </w:r>
      <w:r>
        <w:rPr>
          <w:color w:val="000000"/>
          <w:spacing w:val="0"/>
          <w:w w:val="100"/>
          <w:position w:val="0"/>
          <w:sz w:val="15"/>
          <w:szCs w:val="15"/>
          <w:shd w:val="clear" w:color="auto" w:fill="auto"/>
          <w:lang w:val="ru-RU" w:eastAsia="ru-RU" w:bidi="ru-RU"/>
        </w:rPr>
        <w:t>,</w:t>
      </w:r>
      <w:r>
        <w:rPr>
          <w:color w:val="000000"/>
          <w:spacing w:val="0"/>
          <w:w w:val="100"/>
          <w:position w:val="0"/>
          <w:sz w:val="26"/>
          <w:szCs w:val="26"/>
          <w:shd w:val="clear" w:color="auto" w:fill="auto"/>
          <w:lang w:val="ru-RU" w:eastAsia="ru-RU" w:bidi="ru-RU"/>
        </w:rPr>
        <w:t>-</w:t>
      </w:r>
      <w:r>
        <w:rPr>
          <w:color w:val="000000"/>
          <w:spacing w:val="0"/>
          <w:w w:val="100"/>
          <w:position w:val="0"/>
          <w:sz w:val="26"/>
          <w:szCs w:val="26"/>
          <w:shd w:val="clear" w:color="auto" w:fill="auto"/>
          <w:vertAlign w:val="superscript"/>
          <w:lang w:val="ru-RU" w:eastAsia="ru-RU" w:bidi="ru-RU"/>
        </w:rPr>
        <w:t>Х</w:t>
      </w:r>
      <w:r>
        <w:rPr>
          <w:color w:val="000000"/>
          <w:spacing w:val="0"/>
          <w:w w:val="100"/>
          <w:position w:val="0"/>
          <w:sz w:val="15"/>
          <w:szCs w:val="15"/>
          <w:shd w:val="clear" w:color="auto" w:fill="auto"/>
          <w:lang w:val="ru-RU" w:eastAsia="ru-RU" w:bidi="ru-RU"/>
        </w:rPr>
        <w:t xml:space="preserve">„,. </w:t>
      </w:r>
      <w:r>
        <w:rPr>
          <w:color w:val="000000"/>
          <w:spacing w:val="0"/>
          <w:w w:val="100"/>
          <w:position w:val="0"/>
          <w:sz w:val="38"/>
          <w:szCs w:val="38"/>
          <w:shd w:val="clear" w:color="auto" w:fill="auto"/>
          <w:lang w:val="ru-RU" w:eastAsia="ru-RU" w:bidi="ru-RU"/>
        </w:rPr>
        <w:t>)*</w:t>
        <w:tab/>
      </w:r>
      <w:r>
        <w:rPr>
          <w:strike/>
          <w:color w:val="000000"/>
          <w:spacing w:val="0"/>
          <w:w w:val="100"/>
          <w:position w:val="0"/>
          <w:sz w:val="44"/>
          <w:szCs w:val="44"/>
          <w:shd w:val="clear" w:color="auto" w:fill="auto"/>
          <w:vertAlign w:val="superscript"/>
          <w:lang w:val="ru-RU" w:eastAsia="ru-RU" w:bidi="ru-RU"/>
        </w:rPr>
        <w:t>1&lt;Ю</w:t>
      </w:r>
      <w:r>
        <w:rPr>
          <w:strike/>
          <w:color w:val="000000"/>
          <w:spacing w:val="0"/>
          <w:w w:val="100"/>
          <w:position w:val="0"/>
          <w:sz w:val="26"/>
          <w:szCs w:val="26"/>
          <w:shd w:val="clear" w:color="auto" w:fill="auto"/>
          <w:lang w:val="ru-RU" w:eastAsia="ru-RU" w:bidi="ru-RU"/>
        </w:rPr>
        <w:t>Х</w:t>
      </w:r>
      <w:r>
        <w:rPr>
          <w:color w:val="000000"/>
          <w:spacing w:val="0"/>
          <w:w w:val="100"/>
          <w:position w:val="0"/>
          <w:sz w:val="26"/>
          <w:szCs w:val="26"/>
          <w:shd w:val="clear" w:color="auto" w:fill="auto"/>
          <w:lang w:val="ru-RU" w:eastAsia="ru-RU" w:bidi="ru-RU"/>
        </w:rPr>
        <w:t xml:space="preserve"> ;</w:t>
      </w:r>
    </w:p>
    <w:p>
      <w:pPr>
        <w:pStyle w:val="Style6"/>
        <w:keepNext w:val="0"/>
        <w:keepLines w:val="0"/>
        <w:widowControl w:val="0"/>
        <w:shd w:val="clear" w:color="auto" w:fill="auto"/>
        <w:tabs>
          <w:tab w:pos="7085" w:val="left"/>
        </w:tabs>
        <w:bidi w:val="0"/>
        <w:spacing w:before="0" w:after="0" w:line="199" w:lineRule="auto"/>
        <w:ind w:left="0" w:right="0" w:firstLine="0"/>
        <w:jc w:val="both"/>
      </w:pPr>
      <w:r>
        <w:rPr>
          <w:color w:val="000000"/>
          <w:spacing w:val="0"/>
          <w:w w:val="100"/>
          <w:position w:val="0"/>
          <w:shd w:val="clear" w:color="auto" w:fill="auto"/>
          <w:lang w:val="ru-RU" w:eastAsia="ru-RU" w:bidi="ru-RU"/>
        </w:rPr>
        <w:t>закупи в формулу подсчета баллов</w:t>
        <w:tab/>
      </w:r>
      <w:r>
        <w:rPr>
          <w:color w:val="000000"/>
          <w:spacing w:val="0"/>
          <w:w w:val="100"/>
          <w:position w:val="0"/>
          <w:shd w:val="clear" w:color="auto" w:fill="auto"/>
          <w:vertAlign w:val="superscript"/>
          <w:lang w:val="ru-RU" w:eastAsia="ru-RU" w:bidi="ru-RU"/>
        </w:rPr>
        <w:t>тах тй1</w:t>
      </w:r>
      <w:r>
        <w:rPr>
          <w:color w:val="000000"/>
          <w:spacing w:val="0"/>
          <w:w w:val="100"/>
          <w:position w:val="0"/>
          <w:shd w:val="clear" w:color="auto" w:fill="auto"/>
          <w:lang w:val="ru-RU" w:eastAsia="ru-RU" w:bidi="ru-RU"/>
        </w:rPr>
        <w:t xml:space="preserve"> , утвержденной</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xml:space="preserve">пп.«б» п.20 Положения, получается значение равное 0, что и было отражено в </w:t>
      </w:r>
      <w:r>
        <w:rPr>
          <w:color w:val="000000"/>
          <w:spacing w:val="0"/>
          <w:w w:val="100"/>
          <w:position w:val="0"/>
          <w:shd w:val="clear" w:color="auto" w:fill="auto"/>
          <w:lang w:val="ru-RU" w:eastAsia="ru-RU" w:bidi="ru-RU"/>
        </w:rPr>
        <w:t>протоколе рассмотрения заявок на участие в закупочной процедуре.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что довод жалобы Заявителя не нашел своего подтверждения и является необоснованным.</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Дополнительно Комиссия Управления отмечает, что представителем Заявителя были озвучены новые, не отраженные в тексте жалобы доводы, относительно неправомерной оценки конкурсных заявок иных участников закупки, что, по своей сути, являющиеся вновь поданной жалобой.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Заявляя новые доводы в рамках возбужденного производства по иной жалобе, ранее назначенной к рассмотрению, Заявитель лишает контрольный орган в сфере закупок осуществить предусмотренные законом процессуальные действия, предусмотренные Законом о контрактной системе, а Заказчика и иных лиц, права и </w:t>
      </w:r>
      <w:r>
        <w:rPr>
          <w:color w:val="000000"/>
          <w:spacing w:val="0"/>
          <w:w w:val="100"/>
          <w:position w:val="0"/>
          <w:shd w:val="clear" w:color="auto" w:fill="auto"/>
          <w:lang w:val="ru-RU" w:eastAsia="ru-RU" w:bidi="ru-RU"/>
        </w:rPr>
        <w:t>законные интересы которых непосредственно затрагиваются в результате рассмотрения жалобы возможности предоставить возражения.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рассмотрение новых доводов по существу приведет к нарушению процессуальных прав заказчика и иных лиц, права и законные интересы которых непосредственно затрагиваются в результате рассмотрения жалобы на подготовку мотивированной правовой позиции по данным доводам и нарушению принципа равноправия сторон.</w:t>
      </w:r>
    </w:p>
    <w:p>
      <w:pPr>
        <w:pStyle w:val="Style6"/>
        <w:keepNext w:val="0"/>
        <w:keepLines w:val="0"/>
        <w:widowControl w:val="0"/>
        <w:shd w:val="clear" w:color="auto" w:fill="auto"/>
        <w:bidi w:val="0"/>
        <w:spacing w:before="0" w:after="0" w:line="240" w:lineRule="auto"/>
        <w:ind w:left="0" w:right="0" w:firstLine="720"/>
        <w:jc w:val="both"/>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13" w:right="538" w:bottom="971" w:left="1094"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1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6"/>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1. Признать жалобу ООО ЧОП «Статус» на действия конкурсной комиссии Филиала «Мособлводхоз» необоснованной.</w:t>
      </w:r>
    </w:p>
    <w:p>
      <w:pPr>
        <w:pStyle w:val="Style6"/>
        <w:keepNext w:val="0"/>
        <w:keepLines w:val="0"/>
        <w:widowControl w:val="0"/>
        <w:shd w:val="clear" w:color="auto" w:fill="auto"/>
        <w:bidi w:val="0"/>
        <w:spacing w:before="0" w:after="980" w:line="240" w:lineRule="auto"/>
        <w:ind w:left="0" w:right="0" w:firstLine="720"/>
        <w:jc w:val="left"/>
      </w:pPr>
      <w:r>
        <w:rPr>
          <w:color w:val="000000"/>
          <w:spacing w:val="0"/>
          <w:w w:val="100"/>
          <w:position w:val="0"/>
          <w:shd w:val="clear" w:color="auto" w:fill="auto"/>
          <w:lang w:val="ru-RU" w:eastAsia="ru-RU" w:bidi="ru-RU"/>
        </w:rPr>
        <w:t>2. Снять ограничения, наложенные на определение поставщика (подрядчика, исполнителя) письмом Московского УФАС России от 25.04.2023 № ЕИ/18217/23.</w:t>
      </w:r>
    </w:p>
    <w:p>
      <w:pPr>
        <w:pStyle w:val="Style6"/>
        <w:keepNext w:val="0"/>
        <w:keepLines w:val="0"/>
        <w:widowControl w:val="0"/>
        <w:shd w:val="clear" w:color="auto" w:fill="auto"/>
        <w:bidi w:val="0"/>
        <w:spacing w:before="0" w:after="380" w:line="240" w:lineRule="auto"/>
        <w:ind w:left="0" w:right="0" w:firstLine="0"/>
        <w:jc w:val="left"/>
      </w:pPr>
      <w:r>
        <mc:AlternateContent>
          <mc:Choice Requires="wps">
            <w:drawing>
              <wp:anchor distT="0" distB="0" distL="114300" distR="114300" simplePos="0" relativeHeight="125829381" behindDoc="0" locked="0" layoutInCell="1" allowOverlap="1">
                <wp:simplePos x="0" y="0"/>
                <wp:positionH relativeFrom="page">
                  <wp:posOffset>6313805</wp:posOffset>
                </wp:positionH>
                <wp:positionV relativeFrom="paragraph">
                  <wp:posOffset>12700</wp:posOffset>
                </wp:positionV>
                <wp:extent cx="902335" cy="252730"/>
                <wp:wrapSquare wrapText="left"/>
                <wp:docPr id="11" name="Shape 11"/>
                <a:graphic xmlns:a="http://schemas.openxmlformats.org/drawingml/2006/main">
                  <a:graphicData uri="http://schemas.microsoft.com/office/word/2010/wordprocessingShape">
                    <wps:wsp>
                      <wps:cNvSpPr txBox="1"/>
                      <wps:spPr>
                        <a:xfrm>
                          <a:ext cx="902335"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К.А. Сомов</w:t>
                            </w:r>
                          </w:p>
                        </w:txbxContent>
                      </wps:txbx>
                      <wps:bodyPr wrap="none" lIns="0" tIns="0" rIns="0" bIns="0">
                        <a:noAutoFit/>
                      </wps:bodyPr>
                    </wps:wsp>
                  </a:graphicData>
                </a:graphic>
              </wp:anchor>
            </w:drawing>
          </mc:Choice>
          <mc:Fallback>
            <w:pict>
              <v:shape id="_x0000_s1037" type="#_x0000_t202" style="position:absolute;margin-left:497.15000000000003pt;margin-top:1.pt;width:71.049999999999997pt;height:19.900000000000002pt;z-index:-125829372;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К.А. Сомов</w:t>
                      </w:r>
                    </w:p>
                  </w:txbxContent>
                </v:textbox>
                <w10:wrap type="square" side="left" anchorx="page"/>
              </v:shape>
            </w:pict>
          </mc:Fallback>
        </mc:AlternateContent>
      </w:r>
      <w:r>
        <w:rPr>
          <w:color w:val="000000"/>
          <w:spacing w:val="0"/>
          <w:w w:val="100"/>
          <w:position w:val="0"/>
          <w:shd w:val="clear" w:color="auto" w:fill="auto"/>
          <w:lang w:val="ru-RU" w:eastAsia="ru-RU" w:bidi="ru-RU"/>
        </w:rPr>
        <w:t>Председательствующий</w:t>
      </w:r>
    </w:p>
    <w:p>
      <w:pPr>
        <w:pStyle w:val="Style6"/>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720" w:line="240" w:lineRule="auto"/>
        <w:ind w:left="0" w:right="0" w:firstLine="0"/>
        <w:jc w:val="right"/>
      </w:pPr>
      <w:r>
        <w:rPr>
          <w:color w:val="000000"/>
          <w:spacing w:val="0"/>
          <w:w w:val="100"/>
          <w:position w:val="0"/>
          <w:shd w:val="clear" w:color="auto" w:fill="auto"/>
          <w:lang w:val="ru-RU" w:eastAsia="ru-RU" w:bidi="ru-RU"/>
        </w:rPr>
        <w:t>Е.Д. Мартьянова</w:t>
      </w:r>
    </w:p>
    <w:p>
      <w:pPr>
        <w:pStyle w:val="Style6"/>
        <w:keepNext w:val="0"/>
        <w:keepLines w:val="0"/>
        <w:widowControl w:val="0"/>
        <w:shd w:val="clear" w:color="auto" w:fill="auto"/>
        <w:bidi w:val="0"/>
        <w:spacing w:before="0" w:after="4160" w:line="240" w:lineRule="auto"/>
        <w:ind w:left="0" w:right="0" w:firstLine="0"/>
        <w:jc w:val="right"/>
      </w:pPr>
      <w:r>
        <w:rPr>
          <w:color w:val="000000"/>
          <w:spacing w:val="0"/>
          <w:w w:val="100"/>
          <w:position w:val="0"/>
          <w:shd w:val="clear" w:color="auto" w:fill="auto"/>
          <w:lang w:val="ru-RU" w:eastAsia="ru-RU" w:bidi="ru-RU"/>
        </w:rPr>
        <w:t>Н.А. Узкий</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Исп.Узкий Н.А.</w:t>
      </w:r>
    </w:p>
    <w:p>
      <w:pPr>
        <w:pStyle w:val="Style26"/>
        <w:keepNext w:val="0"/>
        <w:keepLines w:val="0"/>
        <w:widowControl w:val="0"/>
        <w:shd w:val="clear" w:color="auto" w:fill="auto"/>
        <w:bidi w:val="0"/>
        <w:spacing w:before="0" w:after="540" w:line="240" w:lineRule="auto"/>
        <w:ind w:left="0" w:right="0" w:firstLine="0"/>
        <w:jc w:val="left"/>
      </w:pPr>
      <w:r>
        <w:rPr>
          <w:color w:val="000000"/>
          <w:spacing w:val="0"/>
          <w:w w:val="100"/>
          <w:position w:val="0"/>
          <w:shd w:val="clear" w:color="auto" w:fill="auto"/>
          <w:lang w:val="ru-RU" w:eastAsia="ru-RU" w:bidi="ru-RU"/>
        </w:rPr>
        <w:t>тел.8(495)784-75-05</w:t>
      </w:r>
    </w:p>
    <w:sectPr>
      <w:footnotePr>
        <w:pos w:val="pageBottom"/>
        <w:numFmt w:val="decimal"/>
        <w:numRestart w:val="continuous"/>
      </w:footnotePr>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725170</wp:posOffset>
              </wp:positionH>
              <wp:positionV relativeFrom="page">
                <wp:posOffset>10116185</wp:posOffset>
              </wp:positionV>
              <wp:extent cx="646430" cy="100330"/>
              <wp:wrapNone/>
              <wp:docPr id="7" name="Shape 7"/>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2023-7853</w:t>
                          </w:r>
                        </w:p>
                      </w:txbxContent>
                    </wps:txbx>
                    <wps:bodyPr wrap="none" lIns="0" tIns="0" rIns="0" bIns="0">
                      <a:spAutoFit/>
                    </wps:bodyPr>
                  </wps:wsp>
                </a:graphicData>
              </a:graphic>
            </wp:anchor>
          </w:drawing>
        </mc:Choice>
        <mc:Fallback>
          <w:pict>
            <v:shape id="_x0000_s1033" type="#_x0000_t202" style="position:absolute;margin-left:57.100000000000001pt;margin-top:796.55000000000007pt;width:50.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2023-7853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719455</wp:posOffset>
              </wp:positionH>
              <wp:positionV relativeFrom="page">
                <wp:posOffset>10122535</wp:posOffset>
              </wp:positionV>
              <wp:extent cx="640080" cy="100330"/>
              <wp:wrapNone/>
              <wp:docPr id="9" name="Shape 9"/>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2023-7853</w:t>
                          </w:r>
                        </w:p>
                      </w:txbxContent>
                    </wps:txbx>
                    <wps:bodyPr wrap="none" lIns="0" tIns="0" rIns="0" bIns="0">
                      <a:spAutoFit/>
                    </wps:bodyPr>
                  </wps:wsp>
                </a:graphicData>
              </a:graphic>
            </wp:anchor>
          </w:drawing>
        </mc:Choice>
        <mc:Fallback>
          <w:pict>
            <v:shape id="_x0000_s1035" type="#_x0000_t202" style="position:absolute;margin-left:56.649999999999999pt;margin-top:797.05000000000007pt;width:50.3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2023-7853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3922395</wp:posOffset>
              </wp:positionH>
              <wp:positionV relativeFrom="page">
                <wp:posOffset>476250</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8.85000000000002pt;margin-top:37.5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25FA6"/>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Колонтитул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1_"/>
    <w:basedOn w:val="DefaultParagraphFont"/>
    <w:link w:val="Style11"/>
    <w:rPr>
      <w:rFonts w:ascii="Times New Roman" w:eastAsia="Times New Roman" w:hAnsi="Times New Roman" w:cs="Times New Roman"/>
      <w:b/>
      <w:bCs/>
      <w:i w:val="0"/>
      <w:iCs w:val="0"/>
      <w:smallCaps w:val="0"/>
      <w:strike w:val="0"/>
      <w:sz w:val="28"/>
      <w:szCs w:val="28"/>
      <w:u w:val="none"/>
    </w:rPr>
  </w:style>
  <w:style w:type="character" w:customStyle="1" w:styleId="CharStyle15">
    <w:name w:val="Основной текст (4)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25">
    <w:name w:val="Основной текст (5)_"/>
    <w:basedOn w:val="DefaultParagraphFont"/>
    <w:link w:val="Style24"/>
    <w:rPr>
      <w:rFonts w:ascii="Times New Roman" w:eastAsia="Times New Roman" w:hAnsi="Times New Roman" w:cs="Times New Roman"/>
      <w:b w:val="0"/>
      <w:bCs w:val="0"/>
      <w:i w:val="0"/>
      <w:iCs w:val="0"/>
      <w:smallCaps w:val="0"/>
      <w:strike w:val="0"/>
      <w:sz w:val="15"/>
      <w:szCs w:val="15"/>
      <w:u w:val="none"/>
    </w:rPr>
  </w:style>
  <w:style w:type="character" w:customStyle="1" w:styleId="CharStyle27">
    <w:name w:val="Основной текст (3)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2)"/>
    <w:basedOn w:val="Normal"/>
    <w:link w:val="CharStyle3"/>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25FA6"/>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Колонтитул (2)"/>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1"/>
    <w:basedOn w:val="Normal"/>
    <w:link w:val="CharStyle12"/>
    <w:pPr>
      <w:widowControl w:val="0"/>
      <w:shd w:val="clear" w:color="auto" w:fill="auto"/>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14">
    <w:name w:val="Основной текст (4)"/>
    <w:basedOn w:val="Normal"/>
    <w:link w:val="CharStyle15"/>
    <w:pPr>
      <w:widowControl w:val="0"/>
      <w:shd w:val="clear" w:color="auto" w:fill="auto"/>
      <w:spacing w:after="320"/>
      <w:ind w:firstLine="360"/>
    </w:pPr>
    <w:rPr>
      <w:rFonts w:ascii="Arial" w:eastAsia="Arial" w:hAnsi="Arial" w:cs="Arial"/>
      <w:b w:val="0"/>
      <w:bCs w:val="0"/>
      <w:i w:val="0"/>
      <w:iCs w:val="0"/>
      <w:smallCaps w:val="0"/>
      <w:strike w:val="0"/>
      <w:sz w:val="34"/>
      <w:szCs w:val="34"/>
      <w:u w:val="none"/>
    </w:rPr>
  </w:style>
  <w:style w:type="paragraph" w:customStyle="1" w:styleId="Style24">
    <w:name w:val="Основной текст (5)"/>
    <w:basedOn w:val="Normal"/>
    <w:link w:val="CharStyle25"/>
    <w:pPr>
      <w:widowControl w:val="0"/>
      <w:shd w:val="clear" w:color="auto" w:fill="auto"/>
      <w:spacing w:after="340"/>
      <w:jc w:val="center"/>
    </w:pPr>
    <w:rPr>
      <w:rFonts w:ascii="Times New Roman" w:eastAsia="Times New Roman" w:hAnsi="Times New Roman" w:cs="Times New Roman"/>
      <w:b w:val="0"/>
      <w:bCs w:val="0"/>
      <w:i w:val="0"/>
      <w:iCs w:val="0"/>
      <w:smallCaps w:val="0"/>
      <w:strike w:val="0"/>
      <w:sz w:val="15"/>
      <w:szCs w:val="15"/>
      <w:u w:val="none"/>
    </w:rPr>
  </w:style>
  <w:style w:type="paragraph" w:customStyle="1" w:styleId="Style26">
    <w:name w:val="Основной текст (3)"/>
    <w:basedOn w:val="Normal"/>
    <w:link w:val="CharStyle27"/>
    <w:pPr>
      <w:widowControl w:val="0"/>
      <w:shd w:val="clear" w:color="auto" w:fill="auto"/>
      <w:spacing w:after="27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