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4460A2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ф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19"/>
          <w:szCs w:val="19"/>
        </w:rPr>
      </w:pPr>
      <w:r>
        <w:rPr>
          <w:color w:val="4460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Амурской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Амурская, 150, г. Благовещенск</w:t>
        <w:br/>
        <w:t>Амурская область, 675000</w:t>
        <w:br/>
        <w:t>тел. (4162) 52-00-07, факс (4162) 52-00-35</w:t>
        <w:br/>
        <w:t>е-таП: 1о28@Й8.§оу.ги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320" w:line="240" w:lineRule="auto"/>
        <w:ind w:left="0" w:right="0" w:firstLine="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5.05.2023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НГ/561/23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both"/>
      </w:pPr>
      <w:r>
        <w:rPr>
          <w:b w:val="0"/>
          <w:bCs w:val="0"/>
          <w:color w:val="4460A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028/06/106-325/2023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площадки: АО «Сбербанк-АСТ» ко@8ЪегЪапк-а81.ги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6" w:right="1132" w:bottom="1198" w:left="1130" w:header="0" w:footer="3" w:gutter="0"/>
          <w:pgNumType w:start="1"/>
          <w:cols w:num="2" w:space="91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заказчику: Администрации города Тында дога4т!уп4а@таП.ги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0" w:bottom="11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028/06/106-325/2023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837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Благовещенск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полном объеме изготовлено 05.05.2023)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Амурской области (далее - Амурское УФАС России) по контролю в сфере закупок в составе: Парнищевой М.М. - заместителя председателя Комиссии, начальника отдела контроля закупок; Левченко И.И. - ведущего специалиста-эксперта указанного отдела, Бутковской Н.В.- ведущего специалиста- эксперта указанного отдела,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02.05.2023 о нарушении муниципальным заказчиком - Администрацией города Тында (далее - Заказчик)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 осуществлении закупки в форме открытого конкурса в электронной форме на право заключения контракта на выполнение работ по благоустройству общественной территории "Тропа здоровья" - левый берег реки Тында на электронной площадке АО «Сбербанк-АСТ»</w:t>
      </w:r>
      <w:r>
        <w:fldChar w:fldCharType="begin"/>
      </w:r>
      <w:r>
        <w:rPr/>
        <w:instrText> HYPERLINK "http://www.sberbank-ast.ru/"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11Нр:/Лу\у\у.8ЬегЬапк-а8Г1Т1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Заказчику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нарушения законодательства Российской Федерации о контрактной системе. допущенные при размещении закупки от 31.03.2023 №</w:t>
      </w:r>
      <w:r>
        <w:fldChar w:fldCharType="begin"/>
      </w:r>
      <w:r>
        <w:rPr/>
        <w:instrText> HYPERLINK "https://zakupki.gov.ru/epz/order/notice/ok20/view/common-info.html?regNumber=0123300005623000023"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0123300005623000023</w:t>
      </w:r>
      <w:r>
        <w:fldChar w:fldCharType="end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для чего, в срок до 19.05.2023: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6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отменить протокол от 25.04.2023 №ПРО11 рассмотрения и оценки первых частей заявок. протокол от 27.04.2023 №ПРО111 рассмотрения и оценки вторых частей заявок. </w:t>
      </w:r>
      <w:r>
        <w:fldChar w:fldCharType="begin"/>
      </w:r>
      <w:r>
        <w:rPr/>
        <w:instrText> HYPERLINK "https://zakupki.gov.ru/epz/order/notice/ok20/view/protocol/protocol-main-info.html?regNumber=0123300005623000023&amp;protocolId=41197823"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 подведения итогов определения поставщика (подрядчика. исполнителя) от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"https://zakupki.gov.ru/epz/order/notice/ok20/view/protocol/protocol-main-info.html?regNumber=0123300005623000023&amp;protocolId=41197823"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 №ИЭОК1</w:t>
      </w:r>
      <w:r>
        <w:fldChar w:fldCharType="end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2"/>
      <w:r>
        <w:br w:type="page"/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в извещение (приложения к извещению) о проведении конкурса в электронной форме изменения, соответствующие позиции Амурского УФАС России, отраженной в решении по делу № 028/06/106 - 325/2023;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проведения конкурса в электронной форме и продлить срок подачи заявок на участие в закупке;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продолжить процедуру закупки в соответствии с требованиями законодательства о контрактной системе.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Оператору электронной площадки - АО «Сбербанк-АСТ»: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момента выдачи предписания обеспечить Заказчику возможность исполнения настоящего предписания;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все поданные на участие в закупке заявки участникам закупки, уведомив их о возможности подачи их вновь с учетом внесенных Заказчиком изменений в извещение открытого конкурса.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информацию, а также копии документов и сведения об исполнении предписания представить в Амурское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22.05.2023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почтой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1:о28@^'а8.доV.^и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Амурской области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Примечание: КоАП РФ установлена административная ответственность за невыполнение в установленный срок законного предписания, требования органа, уполномоченного на осуществление контроля в сфере закупок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1" w:right="367" w:bottom="1182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44170" distL="0" distR="0" simplePos="0" relativeHeight="125829378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304800</wp:posOffset>
                </wp:positionV>
                <wp:extent cx="182880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800000000000004pt;margin-top:24.pt;width:144.pt;height:19.699999999999999pt;z-index:-125829375;mso-wrap-distance-left:0;mso-wrap-distance-top:24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2585" distB="0" distL="0" distR="1786255" simplePos="0" relativeHeight="125829380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362585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765175</wp:posOffset>
                </wp:positionV>
                <wp:extent cx="1283335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25pt;margin-top:60.25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454025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90000000000001pt;margin-top:35.7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7530" distB="137160" distL="0" distR="0" simplePos="0" relativeHeight="125829381" behindDoc="0" locked="0" layoutInCell="1" allowOverlap="1">
                <wp:simplePos x="0" y="0"/>
                <wp:positionH relativeFrom="page">
                  <wp:posOffset>6098540</wp:posOffset>
                </wp:positionH>
                <wp:positionV relativeFrom="paragraph">
                  <wp:posOffset>557530</wp:posOffset>
                </wp:positionV>
                <wp:extent cx="1090930" cy="2044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Н.В. Горячева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0.19999999999999pt;margin-top:43.899999999999999pt;width:85.900000000000006pt;height:16.100000000000001pt;z-index:-125829372;mso-wrap-distance-left:0;mso-wrap-distance-top:43.8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Н.В. Горячева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Горячева Наталья Васильевна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00Е23585А79ЕЗО4241АС1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006В5СВ06272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6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09.03.2023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01.06.2024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2663825</wp:posOffset>
            </wp:positionH>
            <wp:positionV relativeFrom="paragraph">
              <wp:posOffset>241300</wp:posOffset>
            </wp:positionV>
            <wp:extent cx="347345" cy="39624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329565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1.90000000000001pt;margin-top:25.9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10" w:line="240" w:lineRule="auto"/>
        <w:ind w:left="0" w:right="220" w:firstLine="0"/>
        <w:jc w:val="righ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М.М. Парнищева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Парнищева Марина Михайловна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ООЕ937Е967В212А08Э4СВЕАОЕ14АС67СО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09.06.2022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02.09.2023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220" w:firstLine="0"/>
        <w:jc w:val="right"/>
        <w:rPr>
          <w:sz w:val="28"/>
          <w:szCs w:val="28"/>
        </w:rPr>
      </w:pPr>
      <w:r>
        <w:drawing>
          <wp:anchor distT="0" distB="0" distL="114300" distR="1918970" simplePos="0" relativeHeight="125829384" behindDoc="0" locked="0" layoutInCell="1" allowOverlap="1">
            <wp:simplePos x="0" y="0"/>
            <wp:positionH relativeFrom="page">
              <wp:posOffset>2679065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90000000000001pt;margin-top:11.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И.И. Левченко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Левченко Иван Игоревич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00С17Е56082ЕЕ0Е027ЭВВВЗЕРЕ0492Е91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05.04.2023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28.06.2024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22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25pt;margin-top:36.450000000000003pt;width:101.3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1.90000000000001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Н.В. Бутковская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Бутковская Надежда Васильевна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008123Р24Е5С24ВО64165А244А13ВВОВ88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10.03.2023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02.06.2024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Исп.Бутковская Н.В.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тел.8(4162)37-21-73; вн. 028-217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369" w:bottom="102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10006330</wp:posOffset>
              </wp:positionV>
              <wp:extent cx="5727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7.89999999999998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950000000000003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2">
    <w:name w:val="Основной текст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5">
    <w:name w:val="Друго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Основной текст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line="27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auto"/>
      <w:spacing w:after="220" w:line="250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4">
    <w:name w:val="Другое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