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3481705</wp:posOffset>
            </wp:positionH>
            <wp:positionV relativeFrom="paragraph">
              <wp:posOffset>12700</wp:posOffset>
            </wp:positionV>
            <wp:extent cx="762000" cy="82931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2000" cy="829310"/>
                    </a:xfrm>
                    <a:prstGeom prst="rect"/>
                  </pic:spPr>
                </pic:pic>
              </a:graphicData>
            </a:graphic>
          </wp:anchor>
        </w:drawing>
      </w:r>
    </w:p>
    <w:p>
      <w:pPr>
        <w:pStyle w:val="Style2"/>
        <w:keepNext w:val="0"/>
        <w:keepLines w:val="0"/>
        <w:widowControl w:val="0"/>
        <w:shd w:val="clear" w:color="auto" w:fill="auto"/>
        <w:bidi w:val="0"/>
        <w:spacing w:before="0" w:after="48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жалобе № 066/06/106-1482/2023</w:t>
      </w:r>
    </w:p>
    <w:p>
      <w:pPr>
        <w:pStyle w:val="Style2"/>
        <w:keepNext w:val="0"/>
        <w:keepLines w:val="0"/>
        <w:widowControl w:val="0"/>
        <w:shd w:val="clear" w:color="auto" w:fill="auto"/>
        <w:tabs>
          <w:tab w:pos="9134" w:val="left"/>
        </w:tabs>
        <w:bidi w:val="0"/>
        <w:spacing w:before="0" w:after="240" w:line="240" w:lineRule="auto"/>
        <w:ind w:left="0" w:right="0" w:firstLine="0"/>
        <w:jc w:val="center"/>
      </w:pPr>
      <w:r>
        <w:rPr>
          <w:color w:val="000000"/>
          <w:spacing w:val="0"/>
          <w:w w:val="100"/>
          <w:position w:val="0"/>
          <w:shd w:val="clear" w:color="auto" w:fill="auto"/>
          <w:lang w:val="ru-RU" w:eastAsia="ru-RU" w:bidi="ru-RU"/>
        </w:rPr>
        <w:t>г. Екатеринбург</w:t>
        <w:tab/>
        <w:t>27.04.2023 г.</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80"/>
        <w:ind w:left="0" w:right="0" w:firstLine="720"/>
        <w:jc w:val="both"/>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11-30 при участии представителей:</w:t>
      </w:r>
    </w:p>
    <w:p>
      <w:pPr>
        <w:pStyle w:val="Style2"/>
        <w:keepNext w:val="0"/>
        <w:keepLines w:val="0"/>
        <w:widowControl w:val="0"/>
        <w:numPr>
          <w:ilvl w:val="0"/>
          <w:numId w:val="1"/>
        </w:numPr>
        <w:shd w:val="clear" w:color="auto" w:fill="auto"/>
        <w:tabs>
          <w:tab w:pos="966" w:val="left"/>
        </w:tabs>
        <w:bidi w:val="0"/>
        <w:spacing w:before="0" w:after="0"/>
        <w:ind w:left="0" w:right="0" w:firstLine="720"/>
        <w:jc w:val="both"/>
      </w:pPr>
      <w:r>
        <w:rPr>
          <w:color w:val="000000"/>
          <w:spacing w:val="0"/>
          <w:w w:val="100"/>
          <w:position w:val="0"/>
          <w:shd w:val="clear" w:color="auto" w:fill="auto"/>
          <w:lang w:val="ru-RU" w:eastAsia="ru-RU" w:bidi="ru-RU"/>
        </w:rPr>
        <w:t>заказчика в лице Муниципального казенного учреждения «Управление капитального строительства» - *</w:t>
      </w:r>
    </w:p>
    <w:p>
      <w:pPr>
        <w:pStyle w:val="Style2"/>
        <w:keepNext w:val="0"/>
        <w:keepLines w:val="0"/>
        <w:widowControl w:val="0"/>
        <w:numPr>
          <w:ilvl w:val="0"/>
          <w:numId w:val="1"/>
        </w:numPr>
        <w:shd w:val="clear" w:color="auto" w:fill="auto"/>
        <w:tabs>
          <w:tab w:pos="946" w:val="left"/>
        </w:tabs>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заявителя в лице ИП Блиновой Надежды Алексеевны, уведомленной надлежащим образом о месте и времени рассмотрения жалобы,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рассмотрев жалобу ИП Блиновой Надежды Алексеевны (вх. № 8888-ЭП/23 от 24.04.2023 г.) о нарушении заказчиком в лице Муниципального казенного учреждения «Управление капитального строительства» при осуществлении процедуры электронного аукциона на реконструкцию водопроводной сети от насосной 3 подъема на ул. Автодорожная до забора Серовской ГРЭС (извещение № 0362300149823000023),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pPr>
        <w:pStyle w:val="Style2"/>
        <w:keepNext w:val="0"/>
        <w:keepLines w:val="0"/>
        <w:widowControl w:val="0"/>
        <w:shd w:val="clear" w:color="auto" w:fill="auto"/>
        <w:bidi w:val="0"/>
        <w:spacing w:before="0" w:after="200"/>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tabs>
          <w:tab w:pos="4138" w:val="left"/>
          <w:tab w:pos="6816" w:val="left"/>
        </w:tabs>
        <w:bidi w:val="0"/>
        <w:spacing w:before="0" w:after="0"/>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ИП Блиновой Надежды Алексеевны (вх. №</w:t>
        <w:tab/>
        <w:t>8888-ЭП/23 от 24.04.2023</w:t>
        <w:tab/>
        <w:t>г.) о нарушении заказчиком в лице</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Муниципального казенного учреждения «Управление капитального строительства» при осуществлении процедуры электронного аукциона на реконструкцию водопроводной сети от насосной 3 подъема на ул. Автодорожная до забора Серовской ГРЭС (извещение № 0362300149823000023), Закона о контрактной системе, соответствующая требованиям статьи 105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своей жалобе заявитель указал, что извещение электронного аукциона составлено заказчиком с нарушением требований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numPr>
          <w:ilvl w:val="0"/>
          <w:numId w:val="3"/>
        </w:numPr>
        <w:shd w:val="clear" w:color="auto" w:fill="auto"/>
        <w:tabs>
          <w:tab w:pos="927" w:val="left"/>
        </w:tabs>
        <w:bidi w:val="0"/>
        <w:spacing w:before="0" w:after="0"/>
        <w:ind w:left="0" w:right="0" w:firstLine="720"/>
        <w:jc w:val="both"/>
      </w:pPr>
      <w:r>
        <w:rPr>
          <w:color w:val="000000"/>
          <w:spacing w:val="0"/>
          <w:w w:val="100"/>
          <w:position w:val="0"/>
          <w:shd w:val="clear" w:color="auto" w:fill="auto"/>
          <w:lang w:val="ru-RU" w:eastAsia="ru-RU" w:bidi="ru-RU"/>
        </w:rPr>
        <w:t>4.04.2023 г. на официальном сайте опубликовано извещение о проведении электронного аукциона № 0362300149823000023 на реконструкцию водопроводной сети от насосной 3 подъема на ул. Автодорожная до забора Серовской ГРЭС.</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составила 22 352 548.00 рублей.</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подпунктами «м»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 пункта 1,</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«в» пункта 2,</w:t>
      </w:r>
      <w:r>
        <w:rPr>
          <w:color w:val="000000"/>
          <w:spacing w:val="0"/>
          <w:w w:val="100"/>
          <w:position w:val="0"/>
          <w:shd w:val="clear" w:color="auto" w:fill="auto"/>
          <w:lang w:val="ru-RU" w:eastAsia="ru-RU" w:bidi="ru-RU"/>
        </w:rPr>
        <w:t xml:space="preserve"> пунктом 5 части 1 статьи 43</w:t>
      </w:r>
      <w:r>
        <w:rPr>
          <w:color w:val="000000"/>
          <w:spacing w:val="0"/>
          <w:w w:val="100"/>
          <w:position w:val="0"/>
          <w:shd w:val="clear" w:color="auto" w:fill="auto"/>
          <w:lang w:val="ru-RU" w:eastAsia="ru-RU" w:bidi="ru-RU"/>
        </w:rPr>
        <w:t xml:space="preserve"> настоящего Федерального закона. Заявка также может содержать информацию и документы, предусмотренные </w:t>
      </w:r>
      <w:r>
        <w:rPr>
          <w:color w:val="000000"/>
          <w:spacing w:val="0"/>
          <w:w w:val="100"/>
          <w:position w:val="0"/>
          <w:shd w:val="clear" w:color="auto" w:fill="auto"/>
          <w:lang w:val="ru-RU" w:eastAsia="ru-RU" w:bidi="ru-RU"/>
        </w:rPr>
        <w:t xml:space="preserve">подпунктом «д» пункта 2 части 1 статьи 43 </w:t>
      </w:r>
      <w:r>
        <w:rPr>
          <w:color w:val="000000"/>
          <w:spacing w:val="0"/>
          <w:w w:val="100"/>
          <w:position w:val="0"/>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hd w:val="clear" w:color="auto" w:fill="auto"/>
          <w:lang w:val="ru-RU" w:eastAsia="ru-RU" w:bidi="ru-RU"/>
        </w:rPr>
        <w:t>) требования, предъявляемые к участникам закупки в соответствии с</w:t>
      </w:r>
      <w:r>
        <w:rPr>
          <w:color w:val="000000"/>
          <w:spacing w:val="0"/>
          <w:w w:val="100"/>
          <w:position w:val="0"/>
          <w:shd w:val="clear" w:color="auto" w:fill="auto"/>
          <w:lang w:val="ru-RU" w:eastAsia="ru-RU" w:bidi="ru-RU"/>
        </w:rPr>
        <w:t xml:space="preserve"> частью 1 статьи 31 </w:t>
      </w:r>
      <w:r>
        <w:rPr>
          <w:color w:val="000000"/>
          <w:spacing w:val="0"/>
          <w:w w:val="100"/>
          <w:position w:val="0"/>
          <w:shd w:val="clear" w:color="auto" w:fill="auto"/>
          <w:lang w:val="ru-RU" w:eastAsia="ru-RU" w:bidi="ru-RU"/>
        </w:rPr>
        <w:t>настоящего Федерального закона, требования, предъявляемые к участникам закупки в соответствии с</w:t>
      </w:r>
      <w:r>
        <w:rPr>
          <w:color w:val="000000"/>
          <w:spacing w:val="0"/>
          <w:w w:val="100"/>
          <w:position w:val="0"/>
          <w:shd w:val="clear" w:color="auto" w:fill="auto"/>
          <w:lang w:val="ru-RU" w:eastAsia="ru-RU" w:bidi="ru-RU"/>
        </w:rPr>
        <w:t xml:space="preserve"> частями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2.1 </w:t>
      </w:r>
      <w:r>
        <w:rPr>
          <w:color w:val="000000"/>
          <w:spacing w:val="0"/>
          <w:w w:val="100"/>
          <w:position w:val="0"/>
          <w:shd w:val="clear" w:color="auto" w:fill="auto"/>
          <w:lang w:val="ru-RU" w:eastAsia="ru-RU" w:bidi="ru-RU"/>
        </w:rPr>
        <w:t xml:space="preserve">(при </w:t>
      </w:r>
      <w:r>
        <w:rPr>
          <w:color w:val="000000"/>
          <w:spacing w:val="0"/>
          <w:w w:val="100"/>
          <w:position w:val="0"/>
          <w:shd w:val="clear" w:color="auto" w:fill="auto"/>
          <w:lang w:val="ru-RU" w:eastAsia="ru-RU" w:bidi="ru-RU"/>
        </w:rPr>
        <w:t>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w:t>
      </w:r>
      <w:r>
        <w:rPr>
          <w:color w:val="000000"/>
          <w:spacing w:val="0"/>
          <w:w w:val="100"/>
          <w:position w:val="0"/>
          <w:shd w:val="clear" w:color="auto" w:fill="auto"/>
          <w:lang w:val="ru-RU" w:eastAsia="ru-RU" w:bidi="ru-RU"/>
        </w:rPr>
        <w:t xml:space="preserve"> частью 1.1 статьи 31 </w:t>
      </w:r>
      <w:r>
        <w:rPr>
          <w:color w:val="000000"/>
          <w:spacing w:val="0"/>
          <w:w w:val="100"/>
          <w:position w:val="0"/>
          <w:shd w:val="clear" w:color="auto" w:fill="auto"/>
          <w:lang w:val="ru-RU" w:eastAsia="ru-RU" w:bidi="ru-RU"/>
        </w:rPr>
        <w:t>настоящего Федерального закона (при наличии такого требования).</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Извещение об осуществлении закупки, если иное не предусмотрено настоящим Федеральным законом, должно содержать, в том числе, электронный документ: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соответствии с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1) информацию и документы об участнике закупки: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w:t>
      </w:r>
      <w:r>
        <w:rPr>
          <w:color w:val="000000"/>
          <w:spacing w:val="0"/>
          <w:w w:val="100"/>
          <w:position w:val="0"/>
          <w:shd w:val="clear" w:color="auto" w:fill="auto"/>
          <w:lang w:val="ru-RU" w:eastAsia="ru-RU" w:bidi="ru-RU"/>
        </w:rPr>
        <w:t xml:space="preserve"> пунктом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части 1 статьи 31 </w:t>
      </w:r>
      <w:r>
        <w:rPr>
          <w:color w:val="000000"/>
          <w:spacing w:val="0"/>
          <w:w w:val="100"/>
          <w:position w:val="0"/>
          <w:shd w:val="clear" w:color="auto" w:fill="auto"/>
          <w:lang w:val="ru-RU" w:eastAsia="ru-RU" w:bidi="ru-RU"/>
        </w:rPr>
        <w:t>настоящего Федерального закона, документы, подтверждающие соответствие участника закупки дополнительным требованиям, установленным в соответствии с</w:t>
      </w:r>
      <w:r>
        <w:rPr>
          <w:color w:val="000000"/>
          <w:spacing w:val="0"/>
          <w:w w:val="100"/>
          <w:position w:val="0"/>
          <w:shd w:val="clear" w:color="auto" w:fill="auto"/>
          <w:lang w:val="ru-RU" w:eastAsia="ru-RU" w:bidi="ru-RU"/>
        </w:rPr>
        <w:t xml:space="preserve"> частями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2.1 </w:t>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 если иное не предусмотрено настоящим Федеральным законом.</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r>
        <w:rPr>
          <w:color w:val="000000"/>
          <w:spacing w:val="0"/>
          <w:w w:val="100"/>
          <w:position w:val="0"/>
          <w:shd w:val="clear" w:color="auto" w:fill="auto"/>
          <w:lang w:val="ru-RU" w:eastAsia="ru-RU" w:bidi="ru-RU"/>
        </w:rPr>
        <w:t>пунктами 4,</w:t>
      </w:r>
      <w:r>
        <w:rPr>
          <w:color w:val="000000"/>
          <w:spacing w:val="0"/>
          <w:w w:val="100"/>
          <w:position w:val="0"/>
          <w:shd w:val="clear" w:color="auto" w:fill="auto"/>
          <w:lang w:val="ru-RU" w:eastAsia="ru-RU" w:bidi="ru-RU"/>
        </w:rPr>
        <w:t xml:space="preserve"> 5,</w:t>
      </w:r>
      <w:r>
        <w:rPr>
          <w:color w:val="000000"/>
          <w:spacing w:val="0"/>
          <w:w w:val="100"/>
          <w:position w:val="0"/>
          <w:shd w:val="clear" w:color="auto" w:fill="auto"/>
          <w:lang w:val="ru-RU" w:eastAsia="ru-RU" w:bidi="ru-RU"/>
        </w:rPr>
        <w:t xml:space="preserve"> 18,</w:t>
      </w:r>
      <w:r>
        <w:rPr>
          <w:color w:val="000000"/>
          <w:spacing w:val="0"/>
          <w:w w:val="100"/>
          <w:position w:val="0"/>
          <w:shd w:val="clear" w:color="auto" w:fill="auto"/>
          <w:lang w:val="ru-RU" w:eastAsia="ru-RU" w:bidi="ru-RU"/>
        </w:rPr>
        <w:t xml:space="preserve"> 30,</w:t>
      </w:r>
      <w:r>
        <w:rPr>
          <w:color w:val="000000"/>
          <w:spacing w:val="0"/>
          <w:w w:val="100"/>
          <w:position w:val="0"/>
          <w:shd w:val="clear" w:color="auto" w:fill="auto"/>
          <w:lang w:val="ru-RU" w:eastAsia="ru-RU" w:bidi="ru-RU"/>
        </w:rPr>
        <w:t xml:space="preserve"> 42,</w:t>
      </w:r>
      <w:r>
        <w:rPr>
          <w:color w:val="000000"/>
          <w:spacing w:val="0"/>
          <w:w w:val="100"/>
          <w:position w:val="0"/>
          <w:shd w:val="clear" w:color="auto" w:fill="auto"/>
          <w:lang w:val="ru-RU" w:eastAsia="ru-RU" w:bidi="ru-RU"/>
        </w:rPr>
        <w:t xml:space="preserve"> 49,</w:t>
      </w:r>
      <w:r>
        <w:rPr>
          <w:color w:val="000000"/>
          <w:spacing w:val="0"/>
          <w:w w:val="100"/>
          <w:position w:val="0"/>
          <w:shd w:val="clear" w:color="auto" w:fill="auto"/>
          <w:lang w:val="ru-RU" w:eastAsia="ru-RU" w:bidi="ru-RU"/>
        </w:rPr>
        <w:t xml:space="preserve"> 54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59 части 1 статьи 93 </w:t>
      </w:r>
      <w:r>
        <w:rPr>
          <w:color w:val="000000"/>
          <w:spacing w:val="0"/>
          <w:w w:val="100"/>
          <w:position w:val="0"/>
          <w:shd w:val="clear" w:color="auto" w:fill="auto"/>
          <w:lang w:val="ru-RU" w:eastAsia="ru-RU" w:bidi="ru-RU"/>
        </w:rPr>
        <w:t>настоящего Федерального закона, заказчик устанавливает следующие единые требования к участникам закупки:</w:t>
      </w:r>
    </w:p>
    <w:p>
      <w:pPr>
        <w:pStyle w:val="Style2"/>
        <w:keepNext w:val="0"/>
        <w:keepLines w:val="0"/>
        <w:widowControl w:val="0"/>
        <w:numPr>
          <w:ilvl w:val="0"/>
          <w:numId w:val="7"/>
        </w:numPr>
        <w:shd w:val="clear" w:color="auto" w:fill="auto"/>
        <w:tabs>
          <w:tab w:pos="1018" w:val="left"/>
        </w:tabs>
        <w:bidi w:val="0"/>
        <w:spacing w:before="0" w:after="0"/>
        <w:ind w:left="0" w:right="0" w:firstLine="760"/>
        <w:jc w:val="both"/>
      </w:pPr>
      <w:r>
        <w:rPr>
          <w:color w:val="000000"/>
          <w:spacing w:val="0"/>
          <w:w w:val="100"/>
          <w:position w:val="0"/>
          <w:shd w:val="clear" w:color="auto" w:fill="auto"/>
          <w:lang w:val="ru-RU" w:eastAsia="ru-RU" w:bidi="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На основании ч. 2 ст. 52 Градостроительного кодекса РФ (далее по тексту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соответствии с ч. 5 ст. 5 Федерального закона от 01.12.2007 г.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Требования к участникам закупки, соответствующие п. 1 ч. 1 ст. 31 Закона о контрактной системе определены извещением закупочной процедуры:</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hd w:val="clear" w:color="auto" w:fill="auto"/>
          <w:lang w:val="ru-RU" w:eastAsia="ru-RU" w:bidi="ru-RU"/>
        </w:rPr>
        <w:t>Участник закупки должен являться членом саморегулируемой организаций в области строительства, реконструкции, капитального ремонта, сноса объектов капитального строительства, за исключением случаев, предусмотренных ч. 2.1 и 2.2 ст. 52 Градостроительного кодекса РФ.</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hd w:val="clear" w:color="auto" w:fill="auto"/>
          <w:lang w:val="ru-RU" w:eastAsia="ru-RU" w:bidi="ru-RU"/>
        </w:rPr>
        <w:t>Член саморегулируемой организации имеет право выполнять строительство, реконструкцию, капитальный ремонт, снос объектов капитального строительства по договору строительного подряда, по договору подряда на осуществление сноса, заключаемого с использованием конкурентных способов заключения договора, при соблюдении в совокупности следующих условий:</w:t>
      </w:r>
    </w:p>
    <w:p>
      <w:pPr>
        <w:pStyle w:val="Style2"/>
        <w:keepNext w:val="0"/>
        <w:keepLines w:val="0"/>
        <w:widowControl w:val="0"/>
        <w:numPr>
          <w:ilvl w:val="0"/>
          <w:numId w:val="7"/>
        </w:numPr>
        <w:shd w:val="clear" w:color="auto" w:fill="auto"/>
        <w:tabs>
          <w:tab w:pos="1004" w:val="left"/>
        </w:tabs>
        <w:bidi w:val="0"/>
        <w:spacing w:before="0" w:after="0"/>
        <w:ind w:left="0" w:right="0" w:firstLine="760"/>
        <w:jc w:val="both"/>
      </w:pPr>
      <w:r>
        <w:rPr>
          <w:i/>
          <w:iCs/>
          <w:color w:val="000000"/>
          <w:spacing w:val="0"/>
          <w:w w:val="100"/>
          <w:position w:val="0"/>
          <w:shd w:val="clear" w:color="auto" w:fill="auto"/>
          <w:lang w:val="ru-RU" w:eastAsia="ru-RU" w:bidi="ru-RU"/>
        </w:rPr>
        <w:t>наличие у саморегулируемой организации, членом которой является такое лицо, компенсационного фонда возмещения вреда и компенсационного фонда обеспечения договорных обязательств, сформированных в соответствии со ст. 55.4 и 55.16 Градостроительного кодекса РФ;</w:t>
      </w:r>
    </w:p>
    <w:p>
      <w:pPr>
        <w:pStyle w:val="Style2"/>
        <w:keepNext w:val="0"/>
        <w:keepLines w:val="0"/>
        <w:widowControl w:val="0"/>
        <w:numPr>
          <w:ilvl w:val="0"/>
          <w:numId w:val="7"/>
        </w:numPr>
        <w:shd w:val="clear" w:color="auto" w:fill="auto"/>
        <w:tabs>
          <w:tab w:pos="1004" w:val="left"/>
        </w:tabs>
        <w:bidi w:val="0"/>
        <w:spacing w:before="0" w:after="0"/>
        <w:ind w:left="0" w:right="0" w:firstLine="760"/>
        <w:jc w:val="both"/>
      </w:pPr>
      <w:r>
        <w:rPr>
          <w:i/>
          <w:iCs/>
          <w:color w:val="000000"/>
          <w:spacing w:val="0"/>
          <w:w w:val="100"/>
          <w:position w:val="0"/>
          <w:shd w:val="clear" w:color="auto" w:fill="auto"/>
          <w:lang w:val="ru-RU" w:eastAsia="ru-RU" w:bidi="ru-RU"/>
        </w:rPr>
        <w:t xml:space="preserve">если совокупный размер обязательств по договору строительного подряда заключаемому с использованием конкурентных способов заключения договора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w:t>
      </w:r>
      <w:r>
        <w:rPr>
          <w:i/>
          <w:iCs/>
          <w:color w:val="000000"/>
          <w:spacing w:val="0"/>
          <w:w w:val="100"/>
          <w:position w:val="0"/>
          <w:shd w:val="clear" w:color="auto" w:fill="auto"/>
          <w:lang w:val="ru-RU" w:eastAsia="ru-RU" w:bidi="ru-RU"/>
        </w:rPr>
        <w:t>в соответствии с частью 11 или 13 ст. 55.16 Градостроительного кодекса РФ. Количество договоров подряда на выполнение инженерных изысканий, подготовку проектной документации, договоров строительного подряда, по договору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pPr>
        <w:pStyle w:val="Style2"/>
        <w:keepNext w:val="0"/>
        <w:keepLines w:val="0"/>
        <w:widowControl w:val="0"/>
        <w:numPr>
          <w:ilvl w:val="0"/>
          <w:numId w:val="7"/>
        </w:numPr>
        <w:shd w:val="clear" w:color="auto" w:fill="auto"/>
        <w:tabs>
          <w:tab w:pos="1040" w:val="left"/>
        </w:tabs>
        <w:bidi w:val="0"/>
        <w:spacing w:before="0" w:after="0"/>
        <w:ind w:left="0" w:right="0" w:firstLine="760"/>
        <w:jc w:val="both"/>
      </w:pPr>
      <w:r>
        <w:rPr>
          <w:i/>
          <w:iCs/>
          <w:color w:val="000000"/>
          <w:spacing w:val="0"/>
          <w:w w:val="100"/>
          <w:position w:val="0"/>
          <w:shd w:val="clear" w:color="auto" w:fill="auto"/>
          <w:lang w:val="ru-RU" w:eastAsia="ru-RU" w:bidi="ru-RU"/>
        </w:rPr>
        <w:t>если совокупный размер обязательств по договору строительного подряда не превышает предельный размер обязательств, исходя из которого таким лицом был внесен взнос в компенсационный фонд возмещения вреда в соответствии с частью 10 или 12 ст. 55.16 Градостроительного кодекса РФ.</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Законность установления данного требования к участникам закупки заявителем не оспаривается.</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Согласно Государственному реестру саморегулируемых организаций </w:t>
      </w:r>
      <w:r>
        <w:fldChar w:fldCharType="begin"/>
      </w:r>
      <w:r>
        <w:rPr/>
        <w:instrText> HYPERLINK "http://sro.gosnadzor.ru/" </w:instrText>
      </w:r>
      <w:r>
        <w:fldChar w:fldCharType="separate"/>
      </w:r>
      <w:r>
        <w:rPr>
          <w:color w:val="000000"/>
          <w:spacing w:val="0"/>
          <w:w w:val="100"/>
          <w:position w:val="0"/>
          <w:shd w:val="clear" w:color="auto" w:fill="auto"/>
          <w:lang w:val="ru-RU" w:eastAsia="ru-RU" w:bidi="ru-RU"/>
        </w:rPr>
        <w:t>(11Ир://8го.до8па^/ог.ги/)</w:t>
      </w:r>
      <w:r>
        <w:fldChar w:fldCharType="end"/>
      </w:r>
      <w:r>
        <w:rPr>
          <w:color w:val="000000"/>
          <w:spacing w:val="0"/>
          <w:w w:val="100"/>
          <w:position w:val="0"/>
          <w:shd w:val="clear" w:color="auto" w:fill="auto"/>
          <w:lang w:val="ru-RU" w:eastAsia="ru-RU" w:bidi="ru-RU"/>
        </w:rPr>
        <w:t>, Единому реестру членов СРО (1111р://гее81г.по81гоу.ги/, 11Ир8://пг8.порп/.ги/) сведения о наличии СРО у заявителя с правом заключать договоры на реконструкцию водопроводной сети на момент окончания срока подачи заявок отсутствуют.</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Данное обстоятельство исключает участие заявителя в рассматриваемом электронном аукционе, ввиду чего, положения извещения не могут нарушить права и законные интересы заявителя в лице ИП Блиновой Надежды Алексеевны.</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2"/>
        <w:keepNext w:val="0"/>
        <w:keepLines w:val="0"/>
        <w:widowControl w:val="0"/>
        <w:shd w:val="clear" w:color="auto" w:fill="auto"/>
        <w:bidi w:val="0"/>
        <w:spacing w:before="0" w:after="200"/>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tabs>
          <w:tab w:pos="1442" w:val="left"/>
        </w:tabs>
        <w:bidi w:val="0"/>
        <w:spacing w:before="0" w:after="0"/>
        <w:ind w:left="0" w:right="0" w:firstLine="760"/>
        <w:jc w:val="both"/>
      </w:pPr>
      <w:r>
        <w:rPr>
          <w:color w:val="000000"/>
          <w:spacing w:val="0"/>
          <w:w w:val="100"/>
          <w:position w:val="0"/>
          <w:shd w:val="clear" w:color="auto" w:fill="auto"/>
          <w:lang w:val="ru-RU" w:eastAsia="ru-RU" w:bidi="ru-RU"/>
        </w:rPr>
        <w:t>1.</w:t>
        <w:tab/>
        <w:t>Жалобу ИП Блиновой Надежды Алексеевны признать необоснованной, как необоснованно</w:t>
      </w:r>
    </w:p>
    <w:p>
      <w:pPr>
        <w:pStyle w:val="Style2"/>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ru-RU" w:eastAsia="ru-RU" w:bidi="ru-RU"/>
        </w:rPr>
        <w:t>поданную.</w:t>
      </w:r>
    </w:p>
    <w:p>
      <w:pPr>
        <w:pStyle w:val="Style2"/>
        <w:keepNext w:val="0"/>
        <w:keepLines w:val="0"/>
        <w:widowControl w:val="0"/>
        <w:shd w:val="clear" w:color="auto" w:fill="auto"/>
        <w:bidi w:val="0"/>
        <w:spacing w:before="0" w:after="260"/>
        <w:ind w:left="0" w:right="0" w:firstLine="7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320" w:line="240" w:lineRule="auto"/>
        <w:ind w:left="0" w:right="0" w:firstLine="160"/>
        <w:jc w:val="both"/>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60" w:line="240" w:lineRule="auto"/>
        <w:ind w:left="0" w:right="0" w:firstLine="160"/>
        <w:jc w:val="both"/>
      </w:pPr>
      <w:r>
        <w:rPr>
          <w:color w:val="000000"/>
          <w:spacing w:val="0"/>
          <w:w w:val="100"/>
          <w:position w:val="0"/>
          <w:shd w:val="clear" w:color="auto" w:fill="auto"/>
          <w:lang w:val="ru-RU" w:eastAsia="ru-RU" w:bidi="ru-RU"/>
        </w:rPr>
        <w:t>Члены Комиссии</w:t>
      </w:r>
    </w:p>
    <w:sectPr>
      <w:headerReference w:type="default" r:id="rId7"/>
      <w:headerReference w:type="first" r:id="rId8"/>
      <w:footnotePr>
        <w:pos w:val="pageBottom"/>
        <w:numFmt w:val="decimal"/>
        <w:numRestart w:val="continuous"/>
      </w:footnotePr>
      <w:pgSz w:w="11900" w:h="16840"/>
      <w:pgMar w:top="1138" w:right="526" w:bottom="576" w:left="796"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3843020</wp:posOffset>
              </wp:positionH>
              <wp:positionV relativeFrom="page">
                <wp:posOffset>485140</wp:posOffset>
              </wp:positionV>
              <wp:extent cx="54610" cy="88265"/>
              <wp:wrapNone/>
              <wp:docPr id="3" name="Shape 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2.60000000000002pt;margin-top:38.200000000000003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90" w:lineRule="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kireev</dc:creator>
  <cp:keywords/>
</cp:coreProperties>
</file>