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88900" distL="114300" distR="1049020" simplePos="0" relativeHeight="125829378" behindDoc="0" locked="0" layoutInCell="1" allowOverlap="1">
                <wp:simplePos x="0" y="0"/>
                <wp:positionH relativeFrom="page">
                  <wp:posOffset>616585</wp:posOffset>
                </wp:positionH>
                <wp:positionV relativeFrom="paragraph">
                  <wp:posOffset>12700</wp:posOffset>
                </wp:positionV>
                <wp:extent cx="2585720" cy="1259840"/>
                <wp:wrapTopAndBottom/>
                <wp:docPr id="1" name="Shape 1"/>
                <a:graphic xmlns:a="http://schemas.openxmlformats.org/drawingml/2006/main">
                  <a:graphicData uri="http://schemas.microsoft.com/office/word/2010/wordprocessingShape">
                    <wps:wsp>
                      <wps:cNvSpPr txBox="1"/>
                      <wps:spPr>
                        <a:xfrm>
                          <a:ext cx="2585720" cy="1259840"/>
                        </a:xfrm>
                        <a:prstGeom prst="rect"/>
                        <a:noFill/>
                      </wps:spPr>
                      <wps:txbx>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48.550000000000004pt;margin-top:1.pt;width:203.59999999999999pt;height:99.200000000000003pt;z-index:-125829375;mso-wrap-distance-left:9.pt;mso-wrap-distance-right:82.600000000000009pt;mso-wrap-distance-bottom:7.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txbxContent>
                </v:textbox>
                <w10:wrap type="topAndBottom" anchorx="page"/>
              </v:shape>
            </w:pict>
          </mc:Fallback>
        </mc:AlternateContent>
      </w:r>
      <w:r>
        <w:drawing>
          <wp:anchor distT="130175" distB="546735" distL="3054350" distR="114300" simplePos="0" relativeHeight="125829380" behindDoc="0" locked="0" layoutInCell="1" allowOverlap="1">
            <wp:simplePos x="0" y="0"/>
            <wp:positionH relativeFrom="page">
              <wp:posOffset>3556635</wp:posOffset>
            </wp:positionH>
            <wp:positionV relativeFrom="paragraph">
              <wp:posOffset>142875</wp:posOffset>
            </wp:positionV>
            <wp:extent cx="579120" cy="670560"/>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579120" cy="670560"/>
                    </a:xfrm>
                    <a:prstGeom prst="rect"/>
                  </pic:spPr>
                </pic:pic>
              </a:graphicData>
            </a:graphic>
          </wp:anchor>
        </w:drawing>
      </w:r>
    </w:p>
    <w:p>
      <w:pPr>
        <w:pStyle w:val="Style4"/>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Московская, д. 55, г. Казань. 420021</w:t>
        <w:br/>
        <w:t>тел.: (843) 236-89-22. факс (843)238-19-46</w:t>
      </w:r>
    </w:p>
    <w:p>
      <w:pPr>
        <w:pStyle w:val="Style4"/>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е-таП: Ю16@1а5.§оу.ги</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МОНОПОЛИЯМ КАРШЫ</w:t>
        <w:br/>
        <w:t>ФЕДЕРАЛЬ ХЕЗМОТ</w:t>
      </w:r>
    </w:p>
    <w:p>
      <w:pPr>
        <w:pStyle w:val="Style2"/>
        <w:keepNext w:val="0"/>
        <w:keepLines w:val="0"/>
        <w:widowControl w:val="0"/>
        <w:shd w:val="clear" w:color="auto" w:fill="auto"/>
        <w:bidi w:val="0"/>
        <w:spacing w:before="0" w:after="0" w:line="214" w:lineRule="auto"/>
        <w:ind w:left="0" w:right="0" w:firstLine="0"/>
        <w:jc w:val="center"/>
        <w:rPr>
          <w:sz w:val="26"/>
          <w:szCs w:val="26"/>
        </w:rPr>
      </w:pPr>
      <w:r>
        <w:rPr>
          <w:spacing w:val="0"/>
          <w:w w:val="100"/>
          <w:position w:val="0"/>
          <w:sz w:val="26"/>
          <w:szCs w:val="26"/>
          <w:shd w:val="clear" w:color="auto" w:fill="auto"/>
          <w:lang w:val="ru-RU" w:eastAsia="ru-RU" w:bidi="ru-RU"/>
        </w:rPr>
        <w:t>Монополиям карты</w:t>
      </w:r>
    </w:p>
    <w:p>
      <w:pPr>
        <w:pStyle w:val="Style2"/>
        <w:keepNext w:val="0"/>
        <w:keepLines w:val="0"/>
        <w:widowControl w:val="0"/>
        <w:shd w:val="clear" w:color="auto" w:fill="auto"/>
        <w:bidi w:val="0"/>
        <w:spacing w:before="0" w:line="233" w:lineRule="auto"/>
        <w:ind w:left="0" w:right="0" w:firstLine="0"/>
        <w:jc w:val="center"/>
      </w:pPr>
      <w:r>
        <w:rPr>
          <w:spacing w:val="0"/>
          <w:w w:val="100"/>
          <w:position w:val="0"/>
          <w:sz w:val="24"/>
          <w:szCs w:val="24"/>
          <w:shd w:val="clear" w:color="auto" w:fill="auto"/>
          <w:lang w:val="ru-RU" w:eastAsia="ru-RU" w:bidi="ru-RU"/>
        </w:rP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0"/>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903" w:right="1374" w:bottom="933" w:left="1543" w:header="0" w:footer="3" w:gutter="0"/>
          <w:pgNumType w:start="1"/>
          <w:cols w:num="2" w:space="2538"/>
          <w:noEndnote/>
          <w:titlePg/>
          <w:rtlGutter w:val="0"/>
          <w:docGrid w:linePitch="360"/>
        </w:sectPr>
      </w:pPr>
      <w:r>
        <w:rPr>
          <w:spacing w:val="0"/>
          <w:w w:val="100"/>
          <w:position w:val="0"/>
          <w:shd w:val="clear" w:color="auto" w:fill="auto"/>
          <w:lang w:val="ru-RU" w:eastAsia="ru-RU" w:bidi="ru-RU"/>
        </w:rPr>
        <w:t>Москоу ур., 55 йорт. Казан шойоре. 420021</w:t>
        <w:br/>
        <w:t>тел.: (843) 236-89-22. факс (843) 238-19-46</w:t>
        <w:br/>
        <w:t>е-таП: 1о16@Га8.§оу.ги</w:t>
      </w:r>
    </w:p>
    <w:p>
      <w:pPr>
        <w:widowControl w:val="0"/>
      </w:pPr>
    </w:p>
    <w:p>
      <w:pPr>
        <w:pStyle w:val="Style2"/>
        <w:keepNext w:val="0"/>
        <w:keepLines w:val="0"/>
        <w:widowControl w:val="0"/>
        <w:shd w:val="clear" w:color="auto" w:fill="auto"/>
        <w:bidi w:val="0"/>
        <w:spacing w:before="0" w:after="420" w:line="240" w:lineRule="auto"/>
        <w:ind w:left="0" w:right="0" w:firstLine="0"/>
        <w:jc w:val="left"/>
        <w:rPr>
          <w:sz w:val="22"/>
          <w:szCs w:val="22"/>
        </w:rPr>
      </w:pPr>
      <w:r>
        <w:rPr>
          <w:b w:val="0"/>
          <w:bCs w:val="0"/>
          <w:spacing w:val="0"/>
          <w:w w:val="100"/>
          <w:position w:val="0"/>
          <w:sz w:val="22"/>
          <w:szCs w:val="22"/>
          <w:shd w:val="clear" w:color="auto" w:fill="auto"/>
          <w:lang w:val="ru-RU" w:eastAsia="ru-RU" w:bidi="ru-RU"/>
        </w:rPr>
        <w:t>На №от</w:t>
      </w:r>
    </w:p>
    <w:p>
      <w:pPr>
        <w:pStyle w:val="Style7"/>
        <w:keepNext w:val="0"/>
        <w:keepLines w:val="0"/>
        <w:widowControl w:val="0"/>
        <w:shd w:val="clear" w:color="auto" w:fill="auto"/>
        <w:bidi w:val="0"/>
        <w:spacing w:before="0" w:after="0" w:line="240" w:lineRule="auto"/>
        <w:ind w:left="6120" w:right="0" w:firstLine="0"/>
        <w:jc w:val="left"/>
      </w:pPr>
      <w:r>
        <w:rPr>
          <w:color w:val="000000"/>
          <w:spacing w:val="0"/>
          <w:w w:val="100"/>
          <w:position w:val="0"/>
          <w:shd w:val="clear" w:color="auto" w:fill="auto"/>
          <w:lang w:val="ru-RU" w:eastAsia="ru-RU" w:bidi="ru-RU"/>
        </w:rPr>
        <w:t>Заказчику:</w:t>
      </w:r>
    </w:p>
    <w:p>
      <w:pPr>
        <w:pStyle w:val="Style7"/>
        <w:keepNext w:val="0"/>
        <w:keepLines w:val="0"/>
        <w:widowControl w:val="0"/>
        <w:shd w:val="clear" w:color="auto" w:fill="auto"/>
        <w:bidi w:val="0"/>
        <w:spacing w:before="0" w:after="0" w:line="240" w:lineRule="auto"/>
        <w:ind w:left="6120" w:right="0" w:firstLine="0"/>
        <w:jc w:val="left"/>
      </w:pPr>
      <w:r>
        <w:rPr>
          <w:color w:val="000000"/>
          <w:spacing w:val="0"/>
          <w:w w:val="100"/>
          <w:position w:val="0"/>
          <w:shd w:val="clear" w:color="auto" w:fill="auto"/>
          <w:lang w:val="ru-RU" w:eastAsia="ru-RU" w:bidi="ru-RU"/>
        </w:rPr>
        <w:t>ГАУЗ «Азнакаевская центральная районная больница»</w:t>
      </w:r>
    </w:p>
    <w:p>
      <w:pPr>
        <w:pStyle w:val="Style7"/>
        <w:keepNext w:val="0"/>
        <w:keepLines w:val="0"/>
        <w:widowControl w:val="0"/>
        <w:shd w:val="clear" w:color="auto" w:fill="auto"/>
        <w:bidi w:val="0"/>
        <w:spacing w:before="0" w:after="300" w:line="240" w:lineRule="auto"/>
        <w:ind w:left="6120" w:right="0" w:firstLine="0"/>
        <w:jc w:val="left"/>
      </w:pPr>
      <w:r>
        <w:rPr>
          <w:color w:val="000000"/>
          <w:spacing w:val="0"/>
          <w:w w:val="100"/>
          <w:position w:val="0"/>
          <w:shd w:val="clear" w:color="auto" w:fill="auto"/>
          <w:lang w:val="ru-RU" w:eastAsia="ru-RU" w:bidi="ru-RU"/>
        </w:rPr>
        <w:t>е1ха.ахп@гатЫег.ги</w:t>
      </w:r>
    </w:p>
    <w:p>
      <w:pPr>
        <w:pStyle w:val="Style7"/>
        <w:keepNext w:val="0"/>
        <w:keepLines w:val="0"/>
        <w:widowControl w:val="0"/>
        <w:shd w:val="clear" w:color="auto" w:fill="auto"/>
        <w:bidi w:val="0"/>
        <w:spacing w:before="0" w:after="0" w:line="240" w:lineRule="auto"/>
        <w:ind w:left="6120" w:right="0" w:firstLine="0"/>
        <w:jc w:val="left"/>
      </w:pPr>
      <w:r>
        <w:rPr>
          <w:color w:val="000000"/>
          <w:spacing w:val="0"/>
          <w:w w:val="100"/>
          <w:position w:val="0"/>
          <w:shd w:val="clear" w:color="auto" w:fill="auto"/>
          <w:lang w:val="ru-RU" w:eastAsia="ru-RU" w:bidi="ru-RU"/>
        </w:rPr>
        <w:t>Заявителю:</w:t>
      </w:r>
    </w:p>
    <w:p>
      <w:pPr>
        <w:pStyle w:val="Style7"/>
        <w:keepNext w:val="0"/>
        <w:keepLines w:val="0"/>
        <w:widowControl w:val="0"/>
        <w:shd w:val="clear" w:color="auto" w:fill="auto"/>
        <w:bidi w:val="0"/>
        <w:spacing w:before="0" w:after="640" w:line="240" w:lineRule="auto"/>
        <w:ind w:left="6120" w:right="0" w:firstLine="0"/>
        <w:jc w:val="left"/>
      </w:pPr>
      <w:r>
        <w:rPr>
          <w:color w:val="000000"/>
          <w:spacing w:val="0"/>
          <w:w w:val="100"/>
          <w:position w:val="0"/>
          <w:shd w:val="clear" w:color="auto" w:fill="auto"/>
          <w:lang w:val="ru-RU" w:eastAsia="ru-RU" w:bidi="ru-RU"/>
        </w:rPr>
        <w:t>ООО «Гарант Сервис НЧ» §зпс11@таП.ги</w:t>
      </w:r>
    </w:p>
    <w:p>
      <w:pPr>
        <w:pStyle w:val="Style7"/>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Решение по делу № 016/06/49-575/2023</w:t>
        <w:br/>
        <w:t>о нарушении законодательства в сфере закупок товаров, работ, услуг</w:t>
        <w:br/>
        <w:t>для обеспечения государственных и муниципальных нужд</w:t>
      </w:r>
    </w:p>
    <w:p>
      <w:pPr>
        <w:pStyle w:val="Style7"/>
        <w:keepNext w:val="0"/>
        <w:keepLines w:val="0"/>
        <w:widowControl w:val="0"/>
        <w:shd w:val="clear" w:color="auto" w:fill="auto"/>
        <w:bidi w:val="0"/>
        <w:spacing w:before="0" w:after="30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6402705</wp:posOffset>
                </wp:positionH>
                <wp:positionV relativeFrom="paragraph">
                  <wp:posOffset>12700</wp:posOffset>
                </wp:positionV>
                <wp:extent cx="720090" cy="219710"/>
                <wp:wrapSquare wrapText="left"/>
                <wp:docPr id="9" name="Shape 9"/>
                <a:graphic xmlns:a="http://schemas.openxmlformats.org/drawingml/2006/main">
                  <a:graphicData uri="http://schemas.microsoft.com/office/word/2010/wordprocessingShape">
                    <wps:wsp>
                      <wps:cNvSpPr txBox="1"/>
                      <wps:spPr>
                        <a:xfrm>
                          <a:ext cx="720090" cy="21971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Казань</w:t>
                            </w:r>
                          </w:p>
                        </w:txbxContent>
                      </wps:txbx>
                      <wps:bodyPr wrap="none" lIns="0" tIns="0" rIns="0" bIns="0">
                        <a:noAutoFit/>
                      </wps:bodyPr>
                    </wps:wsp>
                  </a:graphicData>
                </a:graphic>
              </wp:anchor>
            </w:drawing>
          </mc:Choice>
          <mc:Fallback>
            <w:pict>
              <v:shape id="_x0000_s1035" type="#_x0000_t202" style="position:absolute;margin-left:504.15000000000003pt;margin-top:1.pt;width:56.700000000000003pt;height:17.300000000000001pt;z-index:-125829372;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Казань</w:t>
                      </w:r>
                    </w:p>
                  </w:txbxContent>
                </v:textbox>
                <w10:wrap type="square" side="left" anchorx="page"/>
              </v:shape>
            </w:pict>
          </mc:Fallback>
        </mc:AlternateContent>
      </w:r>
      <w:r>
        <w:rPr>
          <w:color w:val="000000"/>
          <w:spacing w:val="0"/>
          <w:w w:val="100"/>
          <w:position w:val="0"/>
          <w:shd w:val="clear" w:color="auto" w:fill="auto"/>
          <w:lang w:val="ru-RU" w:eastAsia="ru-RU" w:bidi="ru-RU"/>
        </w:rPr>
        <w:t>27 апреля 2023 года</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tbl>
      <w:tblPr>
        <w:tblOverlap w:val="never"/>
        <w:jc w:val="center"/>
        <w:tblLayout w:type="fixed"/>
      </w:tblPr>
      <w:tblGrid>
        <w:gridCol w:w="4565"/>
        <w:gridCol w:w="5713"/>
      </w:tblGrid>
      <w:tr>
        <w:trPr>
          <w:trHeight w:val="623" w:hRule="exact"/>
        </w:trPr>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840"/>
              <w:jc w:val="left"/>
            </w:pPr>
            <w:r>
              <w:rPr>
                <w:color w:val="000000"/>
                <w:spacing w:val="0"/>
                <w:w w:val="100"/>
                <w:position w:val="0"/>
                <w:shd w:val="clear" w:color="auto" w:fill="auto"/>
                <w:lang w:val="ru-RU" w:eastAsia="ru-RU" w:bidi="ru-RU"/>
              </w:rPr>
              <w:t>Зам. Председателя Комиссии:</w:t>
            </w:r>
          </w:p>
        </w:tc>
        <w:tc>
          <w:tcPr>
            <w:tcBorders/>
            <w:shd w:val="clear" w:color="auto" w:fill="auto"/>
            <w:vAlign w:val="top"/>
          </w:tcPr>
          <w:p>
            <w:pPr>
              <w:pStyle w:val="Style17"/>
              <w:keepNext w:val="0"/>
              <w:keepLines w:val="0"/>
              <w:widowControl w:val="0"/>
              <w:shd w:val="clear" w:color="auto" w:fill="auto"/>
              <w:bidi w:val="0"/>
              <w:spacing w:before="0" w:after="0" w:line="240" w:lineRule="auto"/>
              <w:ind w:left="1500" w:right="0" w:firstLine="20"/>
              <w:jc w:val="left"/>
            </w:pPr>
            <w:r>
              <w:rPr>
                <w:color w:val="000000"/>
                <w:spacing w:val="0"/>
                <w:w w:val="100"/>
                <w:position w:val="0"/>
                <w:shd w:val="clear" w:color="auto" w:fill="auto"/>
                <w:lang w:val="ru-RU" w:eastAsia="ru-RU" w:bidi="ru-RU"/>
              </w:rPr>
              <w:t>Казакова В. Г. - начальника отдела,</w:t>
            </w:r>
          </w:p>
        </w:tc>
      </w:tr>
      <w:tr>
        <w:trPr>
          <w:trHeight w:val="1296" w:hRule="exact"/>
        </w:trPr>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840"/>
              <w:jc w:val="left"/>
            </w:pPr>
            <w:r>
              <w:rPr>
                <w:color w:val="000000"/>
                <w:spacing w:val="0"/>
                <w:w w:val="100"/>
                <w:position w:val="0"/>
                <w:shd w:val="clear" w:color="auto" w:fill="auto"/>
                <w:lang w:val="ru-RU" w:eastAsia="ru-RU" w:bidi="ru-RU"/>
              </w:rPr>
              <w:t>Членов Комиссии:</w:t>
            </w:r>
          </w:p>
        </w:tc>
        <w:tc>
          <w:tcPr>
            <w:tcBorders/>
            <w:shd w:val="clear" w:color="auto" w:fill="auto"/>
            <w:vAlign w:val="bottom"/>
          </w:tcPr>
          <w:p>
            <w:pPr>
              <w:pStyle w:val="Style17"/>
              <w:keepNext w:val="0"/>
              <w:keepLines w:val="0"/>
              <w:widowControl w:val="0"/>
              <w:shd w:val="clear" w:color="auto" w:fill="auto"/>
              <w:bidi w:val="0"/>
              <w:spacing w:before="0" w:after="0" w:line="240" w:lineRule="auto"/>
              <w:ind w:left="1500" w:right="0" w:firstLine="20"/>
              <w:jc w:val="left"/>
            </w:pPr>
            <w:r>
              <w:rPr>
                <w:color w:val="000000"/>
                <w:spacing w:val="0"/>
                <w:w w:val="100"/>
                <w:position w:val="0"/>
                <w:shd w:val="clear" w:color="auto" w:fill="auto"/>
                <w:lang w:val="ru-RU" w:eastAsia="ru-RU" w:bidi="ru-RU"/>
              </w:rPr>
              <w:t>Гиниятуллиной Л.Р. - главного специалиста-эксперта,</w:t>
            </w:r>
          </w:p>
          <w:p>
            <w:pPr>
              <w:pStyle w:val="Style17"/>
              <w:keepNext w:val="0"/>
              <w:keepLines w:val="0"/>
              <w:widowControl w:val="0"/>
              <w:shd w:val="clear" w:color="auto" w:fill="auto"/>
              <w:bidi w:val="0"/>
              <w:spacing w:before="0" w:after="0" w:line="240" w:lineRule="auto"/>
              <w:ind w:left="1500" w:right="0" w:firstLine="20"/>
              <w:jc w:val="left"/>
            </w:pPr>
            <w:r>
              <w:rPr>
                <w:color w:val="000000"/>
                <w:spacing w:val="0"/>
                <w:w w:val="100"/>
                <w:position w:val="0"/>
                <w:shd w:val="clear" w:color="auto" w:fill="auto"/>
                <w:lang w:val="ru-RU" w:eastAsia="ru-RU" w:bidi="ru-RU"/>
              </w:rPr>
              <w:t>Тимофеева М.А. - ведущего специалиста-эксперта,</w:t>
            </w:r>
          </w:p>
        </w:tc>
      </w:tr>
      <w:tr>
        <w:trPr>
          <w:trHeight w:val="313" w:hRule="exact"/>
        </w:trPr>
        <w:tc>
          <w:tcPr>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в присутствии представителя</w:t>
            </w:r>
          </w:p>
        </w:tc>
        <w:tc>
          <w:tcPr>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заказчика ГАУЗ «Азнакаевская центральная</w:t>
            </w:r>
          </w:p>
        </w:tc>
      </w:tr>
    </w:tbl>
    <w:p>
      <w:pPr>
        <w:pStyle w:val="Style7"/>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 xml:space="preserve">районная больница» - Шакировой Р.Ф. (доверенность №1158 от 26.04.2023г.), в присутствии представителя заявителя ООО «Гарант Сервис НЧ» - Таймасовой Л.Л. (доверенность б/н от 26.04.2023г.), рассмотрев в режиме видеоконференцсвязи жалобу заявителя ООО «Гарант Сервис НЧ» (вх. №4181/ж от 24.04.2023г.) на действия заказчика ГАУЗ «Азнакаевская центральная районная больница» при проведении закупки №0311300052323000041 на предмет: «Оказание услуг по </w:t>
      </w:r>
      <w:r>
        <w:rPr>
          <w:color w:val="000000"/>
          <w:spacing w:val="0"/>
          <w:w w:val="100"/>
          <w:position w:val="0"/>
          <w:shd w:val="clear" w:color="auto" w:fill="auto"/>
          <w:lang w:val="ru-RU" w:eastAsia="ru-RU" w:bidi="ru-RU"/>
        </w:rPr>
        <w:t>проверке работоспособности внутреннего противопожарного водоснабжения (пожарных кранов, гидрантов)»,</w:t>
      </w:r>
    </w:p>
    <w:p>
      <w:pPr>
        <w:pStyle w:val="Style7"/>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о проведении электронного аукциона №0311300052323000041 размещено на официальном сайте Российской Федерации \у\у\у.хакирк1.§оу.ги 11.04.2023г.</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- 48 451,00 руб.</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Суть жалобы, по мнению заявителя, закупка проведена с нарушениями норм действующего законодательства, а именно заявка заявителя отклонена заказчиком неправомерно.</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с доводами, изложенными в жалобе не согласился, представил устные и письменные пояснения, а также документы по закупке, которые приобщены к материалам дела.</w:t>
      </w:r>
    </w:p>
    <w:p>
      <w:pPr>
        <w:pStyle w:val="Style7"/>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на действия заказчика, позиции заказчика, изучения извещения электронного аукциона приходит к следующим выводам.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5 статьи 49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7"/>
        <w:keepNext w:val="0"/>
        <w:keepLines w:val="0"/>
        <w:widowControl w:val="0"/>
        <w:numPr>
          <w:ilvl w:val="0"/>
          <w:numId w:val="1"/>
        </w:numPr>
        <w:shd w:val="clear" w:color="auto" w:fill="auto"/>
        <w:tabs>
          <w:tab w:pos="104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7"/>
        <w:keepNext w:val="0"/>
        <w:keepLines w:val="0"/>
        <w:widowControl w:val="0"/>
        <w:numPr>
          <w:ilvl w:val="0"/>
          <w:numId w:val="3"/>
        </w:numPr>
        <w:shd w:val="clear" w:color="auto" w:fill="auto"/>
        <w:tabs>
          <w:tab w:pos="104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7"/>
        <w:keepNext w:val="0"/>
        <w:keepLines w:val="0"/>
        <w:widowControl w:val="0"/>
        <w:numPr>
          <w:ilvl w:val="0"/>
          <w:numId w:val="3"/>
        </w:numPr>
        <w:shd w:val="clear" w:color="auto" w:fill="auto"/>
        <w:tabs>
          <w:tab w:pos="1069" w:val="left"/>
        </w:tabs>
        <w:bidi w:val="0"/>
        <w:spacing w:before="0" w:after="0" w:line="240" w:lineRule="auto"/>
        <w:ind w:left="0" w:right="0" w:firstLine="720"/>
        <w:jc w:val="both"/>
        <w:sectPr>
          <w:footnotePr>
            <w:pos w:val="pageBottom"/>
            <w:numFmt w:val="decimal"/>
            <w:numRestart w:val="continuous"/>
          </w:footnotePr>
          <w:type w:val="continuous"/>
          <w:pgSz w:w="11900" w:h="16840"/>
          <w:pgMar w:top="990" w:right="490" w:bottom="1047" w:left="1103" w:header="0" w:footer="3" w:gutter="0"/>
          <w:cols w:space="720"/>
          <w:noEndnote/>
          <w:rtlGutter w:val="0"/>
          <w:docGrid w:linePitch="360"/>
        </w:sectPr>
      </w:pPr>
      <w:r>
        <w:rPr>
          <w:color w:val="000000"/>
          <w:spacing w:val="0"/>
          <w:w w:val="100"/>
          <w:position w:val="0"/>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w:t>
      </w:r>
    </w:p>
    <w:p>
      <w:pPr>
        <w:pStyle w:val="Style7"/>
        <w:keepNext w:val="0"/>
        <w:keepLines w:val="0"/>
        <w:widowControl w:val="0"/>
        <w:shd w:val="clear" w:color="auto" w:fill="auto"/>
        <w:tabs>
          <w:tab w:pos="1069" w:val="left"/>
        </w:tabs>
        <w:bidi w:val="0"/>
        <w:spacing w:before="0" w:after="0" w:line="240" w:lineRule="auto"/>
        <w:ind w:left="0" w:right="0" w:firstLine="0"/>
        <w:jc w:val="both"/>
      </w:pPr>
      <w:r>
        <w:rPr>
          <w:color w:val="000000"/>
          <w:spacing w:val="0"/>
          <w:w w:val="100"/>
          <w:position w:val="0"/>
          <w:shd w:val="clear" w:color="auto" w:fill="auto"/>
          <w:lang w:val="ru-RU" w:eastAsia="ru-RU" w:bidi="ru-RU"/>
        </w:rPr>
        <w:t>закупке победителя определения поставщика (подрядчика, исполнителя) присваивается первый номер;</w:t>
      </w:r>
    </w:p>
    <w:p>
      <w:pPr>
        <w:pStyle w:val="Style7"/>
        <w:keepNext w:val="0"/>
        <w:keepLines w:val="0"/>
        <w:widowControl w:val="0"/>
        <w:numPr>
          <w:ilvl w:val="0"/>
          <w:numId w:val="1"/>
        </w:numPr>
        <w:shd w:val="clear" w:color="auto" w:fill="auto"/>
        <w:tabs>
          <w:tab w:pos="107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7"/>
        <w:keepNext w:val="0"/>
        <w:keepLines w:val="0"/>
        <w:widowControl w:val="0"/>
        <w:numPr>
          <w:ilvl w:val="0"/>
          <w:numId w:val="5"/>
        </w:numPr>
        <w:shd w:val="clear" w:color="auto" w:fill="auto"/>
        <w:tabs>
          <w:tab w:pos="107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па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numPr>
          <w:ilvl w:val="0"/>
          <w:numId w:val="5"/>
        </w:numPr>
        <w:shd w:val="clear" w:color="auto" w:fill="auto"/>
        <w:tabs>
          <w:tab w:pos="107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numPr>
          <w:ilvl w:val="0"/>
          <w:numId w:val="5"/>
        </w:numPr>
        <w:shd w:val="clear" w:color="auto" w:fill="auto"/>
        <w:tabs>
          <w:tab w:pos="107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 1 настоящего Федерального закона;</w:t>
      </w:r>
    </w:p>
    <w:p>
      <w:pPr>
        <w:pStyle w:val="Style7"/>
        <w:keepNext w:val="0"/>
        <w:keepLines w:val="0"/>
        <w:widowControl w:val="0"/>
        <w:numPr>
          <w:ilvl w:val="0"/>
          <w:numId w:val="5"/>
        </w:numPr>
        <w:shd w:val="clear" w:color="auto" w:fill="auto"/>
        <w:tabs>
          <w:tab w:pos="107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7"/>
        <w:keepNext w:val="0"/>
        <w:keepLines w:val="0"/>
        <w:widowControl w:val="0"/>
        <w:numPr>
          <w:ilvl w:val="0"/>
          <w:numId w:val="5"/>
        </w:numPr>
        <w:shd w:val="clear" w:color="auto" w:fill="auto"/>
        <w:tabs>
          <w:tab w:pos="107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7"/>
        <w:keepNext w:val="0"/>
        <w:keepLines w:val="0"/>
        <w:widowControl w:val="0"/>
        <w:numPr>
          <w:ilvl w:val="0"/>
          <w:numId w:val="5"/>
        </w:numPr>
        <w:shd w:val="clear" w:color="auto" w:fill="auto"/>
        <w:tabs>
          <w:tab w:pos="107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выявления отнесения участника закупки к организациям, предусмотренным пунктом 4 статьи 2 Федерального закона от 4 июня 2018 года И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w:t>
      </w:r>
      <w:r>
        <w:rPr>
          <w:color w:val="000000"/>
          <w:spacing w:val="0"/>
          <w:w w:val="100"/>
          <w:position w:val="0"/>
          <w:shd w:val="clear" w:color="auto" w:fill="auto"/>
          <w:lang w:val="ru-RU" w:eastAsia="ru-RU" w:bidi="ru-RU"/>
        </w:rPr>
        <w:t>услуг, включенных в перечень, определенный Правительством Российской Федерации в соответствии с указанным пунктом;</w:t>
      </w:r>
    </w:p>
    <w:p>
      <w:pPr>
        <w:pStyle w:val="Style7"/>
        <w:keepNext w:val="0"/>
        <w:keepLines w:val="0"/>
        <w:widowControl w:val="0"/>
        <w:numPr>
          <w:ilvl w:val="0"/>
          <w:numId w:val="5"/>
        </w:numPr>
        <w:shd w:val="clear" w:color="auto" w:fill="auto"/>
        <w:tabs>
          <w:tab w:pos="181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7"/>
        <w:keepNext w:val="0"/>
        <w:keepLines w:val="0"/>
        <w:widowControl w:val="0"/>
        <w:numPr>
          <w:ilvl w:val="0"/>
          <w:numId w:val="5"/>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7"/>
        <w:keepNext w:val="0"/>
        <w:keepLines w:val="0"/>
        <w:widowControl w:val="0"/>
        <w:numPr>
          <w:ilvl w:val="0"/>
          <w:numId w:val="5"/>
        </w:numPr>
        <w:shd w:val="clear" w:color="auto" w:fill="auto"/>
        <w:tabs>
          <w:tab w:pos="105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настоящего Федерального закона.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19.04.2023г. №ИЭА1 заявка заявителя (идентификационный номер участника 1907351) отклонена комиссией заказчика на основании пункта 1 части 12 статьи 48 Закона о контрактной системе, а именно:</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Несоответствие информации и документов, предусмотренных извещением и предоставленных участником закупки оператору электронной площадки, требованиям, установленным в извещении (за исключением информации и документов, предусмотренных и. 2 и 3 ч. 6 статьи 43 Закона №44-ФЗ):</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u w:val="single"/>
          <w:shd w:val="clear" w:color="auto" w:fill="auto"/>
          <w:lang w:val="ru-RU" w:eastAsia="ru-RU" w:bidi="ru-RU"/>
        </w:rPr>
        <w:t>участником приложена заявка, которая не соответствует описанию объекта закупки и потребностям Заказчика.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u w:val="single"/>
          <w:shd w:val="clear" w:color="auto" w:fill="auto"/>
          <w:lang w:val="ru-RU" w:eastAsia="ru-RU" w:bidi="ru-RU"/>
        </w:rPr>
        <w:t>Согласно пункту 38 Извещения заказчиком указано, что заявка на участие в закупке должна содержать</w:t>
      </w:r>
      <w:r>
        <w:rPr>
          <w:color w:val="000000"/>
          <w:spacing w:val="0"/>
          <w:w w:val="100"/>
          <w:position w:val="0"/>
          <w:shd w:val="clear" w:color="auto" w:fill="auto"/>
          <w:lang w:val="ru-RU" w:eastAsia="ru-RU" w:bidi="ru-RU"/>
        </w:rPr>
        <w:t>:</w:t>
      </w:r>
    </w:p>
    <w:p>
      <w:pPr>
        <w:pStyle w:val="Style7"/>
        <w:keepNext w:val="0"/>
        <w:keepLines w:val="0"/>
        <w:widowControl w:val="0"/>
        <w:numPr>
          <w:ilvl w:val="0"/>
          <w:numId w:val="7"/>
        </w:numPr>
        <w:shd w:val="clear" w:color="auto" w:fill="auto"/>
        <w:tabs>
          <w:tab w:pos="102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pStyle w:val="Style7"/>
        <w:keepNext w:val="0"/>
        <w:keepLines w:val="0"/>
        <w:widowControl w:val="0"/>
        <w:numPr>
          <w:ilvl w:val="0"/>
          <w:numId w:val="7"/>
        </w:numPr>
        <w:shd w:val="clear" w:color="auto" w:fill="auto"/>
        <w:tabs>
          <w:tab w:pos="102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декларация о соответствии участника закупки требованиям, установленным пунктами 3 - 5, 7 - 11 части 1 статьи 31 закона 44-ФЗ;</w:t>
      </w:r>
    </w:p>
    <w:p>
      <w:pPr>
        <w:pStyle w:val="Style7"/>
        <w:keepNext w:val="0"/>
        <w:keepLines w:val="0"/>
        <w:widowControl w:val="0"/>
        <w:numPr>
          <w:ilvl w:val="0"/>
          <w:numId w:val="7"/>
        </w:numPr>
        <w:shd w:val="clear" w:color="auto" w:fill="auto"/>
        <w:tabs>
          <w:tab w:pos="102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ИНН (при наличии) лиц, указанных в п. 2 и 3 ч. 3 ст. 104 закона 44-ФЗ, или в соответствии с законодательством соответствующего иностранного государства аналог ИНН таких лиц;</w:t>
      </w:r>
    </w:p>
    <w:p>
      <w:pPr>
        <w:pStyle w:val="Style7"/>
        <w:keepNext w:val="0"/>
        <w:keepLines w:val="0"/>
        <w:widowControl w:val="0"/>
        <w:numPr>
          <w:ilvl w:val="0"/>
          <w:numId w:val="7"/>
        </w:numPr>
        <w:shd w:val="clear" w:color="auto" w:fill="auto"/>
        <w:tabs>
          <w:tab w:pos="102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(се результатов), оказанной услуги, а также отдельных этапов исполнения контракта.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Проанализировав заявку заявителя, Комиссией установлено, что заявка содержала в себе перечисленные документы.</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в составе заявки заявителем было приложено согласие (документ в формате \Уогс1) на выполнение работ, данное другому заказчику по другому виду услуг, что следует из содержания согласия: согласие дано на оказание услуг по испытанию пожарных лестниц для нужд МКУ Исполнительный комитет города Нижнекамска.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пояснениям заявителя, указанный документ является технической ошибкой, допущенной сотрудником, данное согласие правового значения для </w:t>
      </w:r>
      <w:r>
        <w:rPr>
          <w:color w:val="000000"/>
          <w:spacing w:val="0"/>
          <w:w w:val="100"/>
          <w:position w:val="0"/>
          <w:shd w:val="clear" w:color="auto" w:fill="auto"/>
          <w:lang w:val="ru-RU" w:eastAsia="ru-RU" w:bidi="ru-RU"/>
        </w:rPr>
        <w:t>рассмотрения заявки в рамках электронного аукциона №0311300052323000041 не имеет. В соответствии с требованиями, установленными заказчиком в пункте 38 извещения, все документы заявителем в заявке представлены.</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заказчиком не установлено требования о направлении участником в составе заявке согласия на выполнение работ (оказания услуг) (самой заявки) отдельным документом.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учитывая вышеизложенные обстоятельства, Комиссия приходит к выводу, что заявка заявителя соответствовала требованиям, установленным заказчиком в извещении, и отклонение участника является неправомерным.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заявителя признан обоснованным.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нарушены требования части 12 статьи 48, пп. «а» пункта 1 части 5 статьи 49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в ходе проведения внеплановой документарной проверки в соответствии с частью 15 статьи 99 Закона о контрактной системе, Комиссией Татарстанского УФАС России выявлено следующее нарушение.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u w:val="single"/>
          <w:shd w:val="clear" w:color="auto" w:fill="auto"/>
          <w:lang w:val="ru-RU" w:eastAsia="ru-RU" w:bidi="ru-RU"/>
        </w:rPr>
        <w:t>Пунктом 12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в том числе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соответствии с пунктом 3 части 2 статьи 42 Закона о контрактной системе извещение об осуществлении закупки должно содержать требования к содержанию, составу заявки па участие в закупке в соответствии с Законом о контрактной системе и инструкцию по ее заполнению. Не допускается установление требований, влекущих за собой ограничение количества участников закупки.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подпункту "н" пункта 1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пунктом 1 части 1 статьи 31 Закона о контрактной системе.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u w:val="single"/>
          <w:shd w:val="clear" w:color="auto" w:fill="auto"/>
          <w:lang w:val="ru-RU" w:eastAsia="ru-RU" w:bidi="ru-RU"/>
        </w:rPr>
        <w:t>На основании пункта 1 части 1 статьи 31 Закона о контрактной системе при осуществлении закупки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u w:val="single"/>
          <w:shd w:val="clear" w:color="auto" w:fill="auto"/>
          <w:lang w:val="ru-RU" w:eastAsia="ru-RU" w:bidi="ru-RU"/>
        </w:rPr>
        <w:t>В соответствии с частью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Частью 6 статьи 31 Закона о контрактной системе установлено, что заказчики не вправе устанавливать требования к участникам закупок в нарушение требований Закона о контрактной системе.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Предметом рассматриваемого электронного аукциона является Оказание услуг по проверке работоспособности внутреннего противопожарного водоснабжения (пожарных кранов, гидрантов).</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u w:val="single"/>
          <w:shd w:val="clear" w:color="auto" w:fill="auto"/>
          <w:lang w:val="ru-RU" w:eastAsia="ru-RU" w:bidi="ru-RU"/>
        </w:rPr>
        <w:t>Согласно пункту 15 части 1 статьи 12 Федерального Закона от 04.05.2011г. № 99-ФЗ «О лицензировании отдельных видов деятельности» (далее - Закон о лицензировании) деятельность по монтажу, техническому обслуживанию и ремонту средств обеспечения пожарной безопасности зданий и сооружений подлежит лицензированию.</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в извещении о проведении закупки заказчиком не установлено требование к участникам аукциона о наличии (о предоставлении)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заказчиком нарушены требования пункта 1 части 1, части 5 статьи 31, пункта 12 части 1 статьи 42 Закона о контрактной системе.</w:t>
      </w:r>
    </w:p>
    <w:p>
      <w:pPr>
        <w:pStyle w:val="Style7"/>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7"/>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РЕШИЛА:</w:t>
      </w:r>
    </w:p>
    <w:p>
      <w:pPr>
        <w:pStyle w:val="Style7"/>
        <w:keepNext w:val="0"/>
        <w:keepLines w:val="0"/>
        <w:widowControl w:val="0"/>
        <w:numPr>
          <w:ilvl w:val="0"/>
          <w:numId w:val="9"/>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заявителя ООО «Гарант Сервис НЧ» (вх. №4181/ж от 24.04.2023г.) на действия заказчика ГАУЗ «Азнакаевская центральная районная больница» при проведении закупки №0311300052323000041 на предмет: «Оказание услуг по проверке работоспособности внутреннего противопожарного водоснабжения (пожарных кранов, гидрантов)» обоснованной.</w:t>
      </w:r>
    </w:p>
    <w:p>
      <w:pPr>
        <w:pStyle w:val="Style7"/>
        <w:keepNext w:val="0"/>
        <w:keepLines w:val="0"/>
        <w:widowControl w:val="0"/>
        <w:numPr>
          <w:ilvl w:val="0"/>
          <w:numId w:val="9"/>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заказчика ГАУЗ «Азнакаевская центральная районная больница» нарушившим требования пункта 1 части 1, части 5 статьи 31, пункта 12 части 1 статьи 42, части 12 статьи 48, пп. «а» пункта 1 части 5 статьи 49 Федерального закона от 05.04.2013г. №44-ФЗ «О контрактной системе в сфере закупок товаров, работ, услуг для обеспечения государственных и муниципальных нужд».</w:t>
      </w:r>
      <w:r>
        <w:br w:type="page"/>
      </w:r>
    </w:p>
    <w:p>
      <w:pPr>
        <w:pStyle w:val="Style7"/>
        <w:keepNext w:val="0"/>
        <w:keepLines w:val="0"/>
        <w:widowControl w:val="0"/>
        <w:numPr>
          <w:ilvl w:val="0"/>
          <w:numId w:val="9"/>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Выдать заказчику ГАУЗ «Азнакаевская центральная районная больница» предписание об устранении нарушений действующего законодательства о контрактной системе.</w:t>
      </w:r>
    </w:p>
    <w:p>
      <w:pPr>
        <w:pStyle w:val="Style7"/>
        <w:keepNext w:val="0"/>
        <w:keepLines w:val="0"/>
        <w:widowControl w:val="0"/>
        <w:numPr>
          <w:ilvl w:val="0"/>
          <w:numId w:val="9"/>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о контрактной системе.</w:t>
      </w:r>
    </w:p>
    <w:p>
      <w:pPr>
        <w:pStyle w:val="Style7"/>
        <w:keepNext w:val="0"/>
        <w:keepLines w:val="0"/>
        <w:widowControl w:val="0"/>
        <w:shd w:val="clear" w:color="auto" w:fill="auto"/>
        <w:bidi w:val="0"/>
        <w:spacing w:before="0" w:after="1540" w:line="240" w:lineRule="auto"/>
        <w:ind w:left="0" w:right="0" w:firstLine="740"/>
        <w:jc w:val="both"/>
      </w:pPr>
      <w:r>
        <w:drawing>
          <wp:anchor distT="0" distB="0" distL="114300" distR="1374140" simplePos="0" relativeHeight="125829383" behindDoc="0" locked="0" layoutInCell="1" allowOverlap="1">
            <wp:simplePos x="0" y="0"/>
            <wp:positionH relativeFrom="page">
              <wp:posOffset>4252595</wp:posOffset>
            </wp:positionH>
            <wp:positionV relativeFrom="paragraph">
              <wp:posOffset>1257300</wp:posOffset>
            </wp:positionV>
            <wp:extent cx="1639570" cy="1920240"/>
            <wp:wrapSquare wrapText="lef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639570" cy="1920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6186805</wp:posOffset>
                </wp:positionH>
                <wp:positionV relativeFrom="paragraph">
                  <wp:posOffset>1410335</wp:posOffset>
                </wp:positionV>
                <wp:extent cx="957580" cy="219710"/>
                <wp:wrapNone/>
                <wp:docPr id="13" name="Shape 13"/>
                <a:graphic xmlns:a="http://schemas.openxmlformats.org/drawingml/2006/main">
                  <a:graphicData uri="http://schemas.microsoft.com/office/word/2010/wordprocessingShape">
                    <wps:wsp>
                      <wps:cNvSpPr txBox="1"/>
                      <wps:spPr>
                        <a:xfrm>
                          <a:ext cx="957580" cy="2197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В.Г. Казаков</w:t>
                            </w:r>
                          </w:p>
                        </w:txbxContent>
                      </wps:txbx>
                      <wps:bodyPr lIns="0" tIns="0" rIns="0" bIns="0">
                        <a:noAutoFit/>
                      </wps:bodyPr>
                    </wps:wsp>
                  </a:graphicData>
                </a:graphic>
              </wp:anchor>
            </w:drawing>
          </mc:Choice>
          <mc:Fallback>
            <w:pict>
              <v:shape id="_x0000_s1039" type="#_x0000_t202" style="position:absolute;margin-left:487.15000000000003pt;margin-top:111.05pt;width:75.400000000000006pt;height:17.300000000000001pt;z-index:251657729;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В.Г. Казаков</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5887085</wp:posOffset>
                </wp:positionH>
                <wp:positionV relativeFrom="paragraph">
                  <wp:posOffset>2098675</wp:posOffset>
                </wp:positionV>
                <wp:extent cx="1261745" cy="221615"/>
                <wp:wrapNone/>
                <wp:docPr id="15" name="Shape 15"/>
                <a:graphic xmlns:a="http://schemas.openxmlformats.org/drawingml/2006/main">
                  <a:graphicData uri="http://schemas.microsoft.com/office/word/2010/wordprocessingShape">
                    <wps:wsp>
                      <wps:cNvSpPr txBox="1"/>
                      <wps:spPr>
                        <a:xfrm>
                          <a:ext cx="1261745" cy="2216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 Гиниятуллина</w:t>
                            </w:r>
                          </w:p>
                        </w:txbxContent>
                      </wps:txbx>
                      <wps:bodyPr lIns="0" tIns="0" rIns="0" bIns="0">
                        <a:noAutoFit/>
                      </wps:bodyPr>
                    </wps:wsp>
                  </a:graphicData>
                </a:graphic>
              </wp:anchor>
            </w:drawing>
          </mc:Choice>
          <mc:Fallback>
            <w:pict>
              <v:shape id="_x0000_s1041" type="#_x0000_t202" style="position:absolute;margin-left:463.55000000000001pt;margin-top:165.25pt;width:99.350000000000009pt;height:17.449999999999999pt;z-index:251657731;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 Гиниятуллина</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5967095</wp:posOffset>
                </wp:positionH>
                <wp:positionV relativeFrom="paragraph">
                  <wp:posOffset>2688590</wp:posOffset>
                </wp:positionV>
                <wp:extent cx="1168400" cy="224155"/>
                <wp:wrapNone/>
                <wp:docPr id="17" name="Shape 17"/>
                <a:graphic xmlns:a="http://schemas.openxmlformats.org/drawingml/2006/main">
                  <a:graphicData uri="http://schemas.microsoft.com/office/word/2010/wordprocessingShape">
                    <wps:wsp>
                      <wps:cNvSpPr txBox="1"/>
                      <wps:spPr>
                        <a:xfrm>
                          <a:ext cx="1168400" cy="2241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М.А. Тимофеев</w:t>
                            </w:r>
                          </w:p>
                        </w:txbxContent>
                      </wps:txbx>
                      <wps:bodyPr lIns="0" tIns="0" rIns="0" bIns="0">
                        <a:noAutoFit/>
                      </wps:bodyPr>
                    </wps:wsp>
                  </a:graphicData>
                </a:graphic>
              </wp:anchor>
            </w:drawing>
          </mc:Choice>
          <mc:Fallback>
            <w:pict>
              <v:shape id="_x0000_s1043" type="#_x0000_t202" style="position:absolute;margin-left:469.85000000000002pt;margin-top:211.70000000000002pt;width:92.pt;height:17.650000000000002pt;z-index:251657733;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М.А. Тимофеев</w:t>
                      </w:r>
                    </w:p>
                  </w:txbxContent>
                </v:textbox>
                <w10:wrap anchorx="page"/>
              </v:shape>
            </w:pict>
          </mc:Fallback>
        </mc:AlternateContent>
      </w: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 месяцев со дня его принятия.</w:t>
      </w:r>
    </w:p>
    <w:p>
      <w:pPr>
        <w:pStyle w:val="Style7"/>
        <w:keepNext w:val="0"/>
        <w:keepLines w:val="0"/>
        <w:widowControl w:val="0"/>
        <w:shd w:val="clear" w:color="auto" w:fill="auto"/>
        <w:bidi w:val="0"/>
        <w:spacing w:before="0" w:after="740" w:line="240" w:lineRule="auto"/>
        <w:ind w:left="0" w:right="0" w:firstLine="0"/>
        <w:jc w:val="both"/>
      </w:pPr>
      <w:r>
        <w:rPr>
          <w:color w:val="000000"/>
          <w:spacing w:val="0"/>
          <w:w w:val="100"/>
          <w:position w:val="0"/>
          <w:shd w:val="clear" w:color="auto" w:fill="auto"/>
          <w:lang w:val="ru-RU" w:eastAsia="ru-RU" w:bidi="ru-RU"/>
        </w:rPr>
        <w:t>Зам. Председателя Комиссии</w:t>
      </w:r>
    </w:p>
    <w:p>
      <w:pPr>
        <w:pStyle w:val="Style7"/>
        <w:keepNext w:val="0"/>
        <w:keepLines w:val="0"/>
        <w:widowControl w:val="0"/>
        <w:shd w:val="clear" w:color="auto" w:fill="auto"/>
        <w:bidi w:val="0"/>
        <w:spacing w:before="0" w:after="758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0" w:line="257" w:lineRule="auto"/>
        <w:ind w:left="0" w:right="0" w:firstLine="0"/>
        <w:jc w:val="both"/>
        <w:rPr>
          <w:sz w:val="22"/>
          <w:szCs w:val="22"/>
        </w:rPr>
      </w:pPr>
      <w:r>
        <w:rPr>
          <w:b w:val="0"/>
          <w:bCs w:val="0"/>
          <w:color w:val="000000"/>
          <w:spacing w:val="0"/>
          <w:w w:val="100"/>
          <w:position w:val="0"/>
          <w:sz w:val="22"/>
          <w:szCs w:val="22"/>
          <w:shd w:val="clear" w:color="auto" w:fill="auto"/>
          <w:lang w:val="ru-RU" w:eastAsia="ru-RU" w:bidi="ru-RU"/>
        </w:rPr>
        <w:t>Исп.: Гиниятуллина Лейсан Рустамовна Тел. (843) 238-24-86</w:t>
      </w:r>
    </w:p>
    <w:sectPr>
      <w:headerReference w:type="default" r:id="rId13"/>
      <w:footerReference w:type="default" r:id="rId14"/>
      <w:footnotePr>
        <w:pos w:val="pageBottom"/>
        <w:numFmt w:val="decimal"/>
        <w:numRestart w:val="continuous"/>
      </w:footnotePr>
      <w:pgSz w:w="11900" w:h="16840"/>
      <w:pgMar w:top="990" w:right="490" w:bottom="1047" w:left="1103" w:header="0" w:footer="619"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836295</wp:posOffset>
              </wp:positionH>
              <wp:positionV relativeFrom="page">
                <wp:posOffset>10299065</wp:posOffset>
              </wp:positionV>
              <wp:extent cx="564515" cy="121285"/>
              <wp:wrapNone/>
              <wp:docPr id="7" name="Shape 7"/>
              <a:graphic xmlns:a="http://schemas.openxmlformats.org/drawingml/2006/main">
                <a:graphicData uri="http://schemas.microsoft.com/office/word/2010/wordprocessingShape">
                  <wps:wsp>
                    <wps:cNvSpPr txBox="1"/>
                    <wps:spPr>
                      <a:xfrm>
                        <a:ext cx="564515" cy="12128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ru-RU" w:eastAsia="ru-RU" w:bidi="ru-RU"/>
                            </w:rPr>
                            <w:t>220384</w:t>
                          </w:r>
                        </w:p>
                      </w:txbxContent>
                    </wps:txbx>
                    <wps:bodyPr wrap="none" lIns="0" tIns="0" rIns="0" bIns="0">
                      <a:spAutoFit/>
                    </wps:bodyPr>
                  </wps:wsp>
                </a:graphicData>
              </a:graphic>
            </wp:anchor>
          </w:drawing>
        </mc:Choice>
        <mc:Fallback>
          <w:pict>
            <v:shape id="_x0000_s1033" type="#_x0000_t202" style="position:absolute;margin-left:65.849999999999994pt;margin-top:810.95000000000005pt;width:44.450000000000003pt;height:9.5500000000000007pt;z-index:-188744061;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ru-RU" w:eastAsia="ru-RU" w:bidi="ru-RU"/>
                      </w:rPr>
                      <w:t>220384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3945255</wp:posOffset>
              </wp:positionH>
              <wp:positionV relativeFrom="page">
                <wp:posOffset>453390</wp:posOffset>
              </wp:positionV>
              <wp:extent cx="61595" cy="111760"/>
              <wp:wrapNone/>
              <wp:docPr id="5" name="Shape 5"/>
              <a:graphic xmlns:a="http://schemas.openxmlformats.org/drawingml/2006/main">
                <a:graphicData uri="http://schemas.microsoft.com/office/word/2010/wordprocessingShape">
                  <wps:wsp>
                    <wps:cNvSpPr txBox="1"/>
                    <wps:spPr>
                      <a:xfrm>
                        <a:ext cx="61595" cy="11176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10.65000000000003pt;margin-top:35.700000000000003pt;width:4.8500000000000005pt;height:8.8000000000000007pt;z-index:-188744063;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3942080</wp:posOffset>
              </wp:positionH>
              <wp:positionV relativeFrom="page">
                <wp:posOffset>448310</wp:posOffset>
              </wp:positionV>
              <wp:extent cx="54610" cy="107315"/>
              <wp:wrapNone/>
              <wp:docPr id="19" name="Shape 19"/>
              <a:graphic xmlns:a="http://schemas.openxmlformats.org/drawingml/2006/main">
                <a:graphicData uri="http://schemas.microsoft.com/office/word/2010/wordprocessingShape">
                  <wps:wsp>
                    <wps:cNvSpPr txBox="1"/>
                    <wps:spPr>
                      <a:xfrm>
                        <a:ext cx="54610" cy="10731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10.40000000000003pt;margin-top:35.300000000000004pt;width:4.2999999999999998pt;height:8.4499999999999993pt;z-index:-188744059;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color w:val="7A92B5"/>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7A92B5"/>
      <w:sz w:val="15"/>
      <w:szCs w:val="15"/>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Подпись к картинке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Основной текст (4)_"/>
    <w:basedOn w:val="DefaultParagraphFont"/>
    <w:link w:val="Style11"/>
    <w:rPr>
      <w:rFonts w:ascii="Arial" w:eastAsia="Arial" w:hAnsi="Arial" w:cs="Arial"/>
      <w:b w:val="0"/>
      <w:bCs w:val="0"/>
      <w:i w:val="0"/>
      <w:iCs w:val="0"/>
      <w:smallCaps w:val="0"/>
      <w:strike w:val="0"/>
      <w:sz w:val="20"/>
      <w:szCs w:val="20"/>
      <w:u w:val="none"/>
      <w:lang w:val="1024"/>
    </w:rPr>
  </w:style>
  <w:style w:type="character" w:customStyle="1" w:styleId="CharStyle16">
    <w:name w:val="Подпись к таблице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Другое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Колонтитул (2)_"/>
    <w:basedOn w:val="DefaultParagraphFont"/>
    <w:link w:val="Style19"/>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300"/>
      <w:jc w:val="center"/>
    </w:pPr>
    <w:rPr>
      <w:rFonts w:ascii="Times New Roman" w:eastAsia="Times New Roman" w:hAnsi="Times New Roman" w:cs="Times New Roman"/>
      <w:b/>
      <w:bCs/>
      <w:i w:val="0"/>
      <w:iCs w:val="0"/>
      <w:smallCaps w:val="0"/>
      <w:strike w:val="0"/>
      <w:color w:val="7A92B5"/>
      <w:u w:val="none"/>
    </w:rPr>
  </w:style>
  <w:style w:type="paragraph" w:customStyle="1" w:styleId="Style4">
    <w:name w:val="Основной текст (3)"/>
    <w:basedOn w:val="Normal"/>
    <w:link w:val="CharStyle5"/>
    <w:pPr>
      <w:widowControl w:val="0"/>
      <w:shd w:val="clear" w:color="auto" w:fill="auto"/>
      <w:spacing w:line="286" w:lineRule="auto"/>
      <w:jc w:val="center"/>
    </w:pPr>
    <w:rPr>
      <w:rFonts w:ascii="Times New Roman" w:eastAsia="Times New Roman" w:hAnsi="Times New Roman" w:cs="Times New Roman"/>
      <w:b w:val="0"/>
      <w:bCs w:val="0"/>
      <w:i w:val="0"/>
      <w:iCs w:val="0"/>
      <w:smallCaps w:val="0"/>
      <w:strike w:val="0"/>
      <w:color w:val="7A92B5"/>
      <w:sz w:val="15"/>
      <w:szCs w:val="15"/>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Подпись к картинке"/>
    <w:basedOn w:val="Normal"/>
    <w:link w:val="CharStyle10"/>
    <w:pPr>
      <w:widowControl w:val="0"/>
      <w:shd w:val="clear" w:color="auto" w:fill="auto"/>
      <w:jc w:val="right"/>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Основной текст (4)"/>
    <w:basedOn w:val="Normal"/>
    <w:link w:val="CharStyle12"/>
    <w:pPr>
      <w:widowControl w:val="0"/>
      <w:shd w:val="clear" w:color="auto" w:fill="auto"/>
    </w:pPr>
    <w:rPr>
      <w:rFonts w:ascii="Arial" w:eastAsia="Arial" w:hAnsi="Arial" w:cs="Arial"/>
      <w:b w:val="0"/>
      <w:bCs w:val="0"/>
      <w:i w:val="0"/>
      <w:iCs w:val="0"/>
      <w:smallCaps w:val="0"/>
      <w:strike w:val="0"/>
      <w:sz w:val="20"/>
      <w:szCs w:val="20"/>
      <w:u w:val="none"/>
      <w:lang w:val="1024"/>
    </w:rPr>
  </w:style>
  <w:style w:type="paragraph" w:customStyle="1" w:styleId="Style15">
    <w:name w:val="Подпись к таблице"/>
    <w:basedOn w:val="Normal"/>
    <w:link w:val="CharStyle16"/>
    <w:pPr>
      <w:widowControl w:val="0"/>
      <w:shd w:val="clear" w:color="auto" w:fill="auto"/>
      <w:ind w:firstLine="7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Другое"/>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Колонтитул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s>
</file>