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024" w:right="538" w:bottom="1198" w:left="67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718185</wp:posOffset>
                </wp:positionH>
                <wp:positionV relativeFrom="paragraph">
                  <wp:posOffset>114300</wp:posOffset>
                </wp:positionV>
                <wp:extent cx="2654935" cy="265493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54935" cy="26549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60A2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4460A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  <w:br/>
                              <w:t>по Калининградской области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Барнаульская 4, г. Калининград, 236006</w:t>
                              <w:br/>
                              <w:t>бокс № 5033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тел. (4012) 53-72-01, факс (4012) 53-72-00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4460A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 xml:space="preserve">е-тай: </w:t>
                            </w:r>
                            <w:r>
                              <w:rPr>
                                <w:smallCaps/>
                                <w:color w:val="4460A2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ru-RU" w:eastAsia="ru-RU" w:bidi="ru-RU"/>
                              </w:rPr>
                              <w:t>1о39@&amp;8.§оу.ги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0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3.05.2023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ИБ/1982/23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20" w:line="266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4460A2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Решение № 039/06/49-313/2023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.550000000000004pt;margin-top:9.pt;width:209.05000000000001pt;height:209.05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460A2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4460A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  <w:br/>
                        <w:t>по Калининградской области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Барнаульская 4, г. Калининград, 236006</w:t>
                        <w:br/>
                        <w:t>бокс № 5033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тел. (4012) 53-72-01, факс (4012) 53-72-00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color w:val="4460A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 xml:space="preserve">е-тай: </w:t>
                      </w:r>
                      <w:r>
                        <w:rPr>
                          <w:smallCaps/>
                          <w:color w:val="4460A2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ru-RU" w:eastAsia="ru-RU" w:bidi="ru-RU"/>
                        </w:rPr>
                        <w:t>1о39@&amp;8.§оу.ги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0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3.05.2023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ИБ/1982/23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20" w:line="266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4460A2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Решение № 039/06/49-313/2023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0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ОТВЕТСТВЕННОСТЬЮ "ЗВК.РУ" </w:t>
      </w:r>
      <w:r>
        <w:fldChar w:fldCharType="begin"/>
      </w:r>
      <w:r>
        <w:rPr/>
        <w:instrText> HYPERLINK "mailto:zvk@zvk.ru" </w:instrText>
      </w:r>
      <w:r>
        <w:fldChar w:fldCharType="separate"/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>хук@хукги</w:t>
      </w:r>
      <w:r>
        <w:fldChar w:fldCharType="end"/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МАОУ "СОШ № 50" г. Калининград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fldChar w:fldCharType="begin"/>
      </w:r>
      <w:r>
        <w:rPr/>
        <w:instrText> HYPERLINK "mailto:maouschool50@edu.klgd.ru"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таои8скоо150@еди.к1дд.щ</w:t>
      </w:r>
      <w:r>
        <w:fldChar w:fldCharType="end"/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орган:</w:t>
      </w:r>
      <w:bookmarkEnd w:id="4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Комитет по финансам администрации городского округа «Город Калининград» </w:t>
      </w:r>
      <w:r>
        <w:fldChar w:fldCharType="begin"/>
      </w:r>
      <w:r>
        <w:rPr/>
        <w:instrText> HYPERLINK "mailto:omz-kenig@mail.ru"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от2-кетд@тай.ш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; </w:t>
      </w:r>
      <w:r>
        <w:fldChar w:fldCharType="begin"/>
      </w:r>
      <w:r>
        <w:rPr/>
        <w:instrText> HYPERLINK "mailto:komfin@klgd.ru"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котГт@к1дд.щ</w:t>
      </w:r>
      <w:r>
        <w:fldChar w:fldCharType="end"/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40" w:lineRule="auto"/>
        <w:ind w:left="574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</w:t>
      </w:r>
      <w:bookmarkEnd w:id="6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160" w:line="240" w:lineRule="auto"/>
        <w:ind w:left="5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«РТС-Тендер»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ко@г18-1епдег.ги</w:t>
      </w:r>
      <w:r>
        <w:fldChar w:fldCharType="end"/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 w:after="480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039/06/49-313/2023</w:t>
      </w:r>
      <w:bookmarkEnd w:id="8"/>
    </w:p>
    <w:p>
      <w:pPr>
        <w:pStyle w:val="Style21"/>
        <w:keepNext w:val="0"/>
        <w:keepLines w:val="0"/>
        <w:widowControl w:val="0"/>
        <w:shd w:val="clear" w:color="auto" w:fill="auto"/>
        <w:tabs>
          <w:tab w:pos="8424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объявлена 27.04.2023</w:t>
        <w:tab/>
        <w:t>г. Калининград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03.05.2023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И.С. Болтенко - временно исполняющий обязанности руководителя Калининградского УФАС России;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Ю.А. Зацепина - заместитель начальника отдела контроля органов власти, закупок и рекламы Калининградского УФАС России;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В.И. Прудникова - специалист первого разряда отдела контроля органов власти, закупок и рекламы Калининградского УФАС России;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заявителя - ООО «ЗВК.РУ»: Повесьмы И.Е. (по доверенности);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заказчика - Муниципального автономного общеобразовательного учреждения города Калининграда средняя общеобразовательная школа № 50 - Никитиной А.С. (по доверенности), Дремлюк И.А. (по доверенности);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уполномоченного органа: Комитета по финансам Администрации городского округа «Город Калининград»: Трояновой Е.Е. (по доверенности), Михалевой Т.И. (по доверенности),</w:t>
      </w:r>
    </w:p>
    <w:p>
      <w:pPr>
        <w:widowControl w:val="0"/>
        <w:spacing w:line="1" w:lineRule="exact"/>
      </w:pPr>
      <w:r>
        <w:drawing>
          <wp:anchor distT="12700" distB="0" distL="0" distR="0" simplePos="0" relativeHeight="125829380" behindDoc="0" locked="0" layoutInCell="1" allowOverlap="1">
            <wp:simplePos x="0" y="0"/>
            <wp:positionH relativeFrom="page">
              <wp:posOffset>715010</wp:posOffset>
            </wp:positionH>
            <wp:positionV relativeFrom="paragraph">
              <wp:posOffset>12700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в режиме видеоконференцсвязи посредством плагина «ТгиеСопГ» жалобу (вх. № 3182/23 от 24.04.2023) ООО «ЗВК.РУ» (далее - Заявитель) на действия заказчика — Муниципального автономного общеобразовательного учреждения города Калининграда средней общеобразовательной школы № 50 (далее - Заказчик), при проведении электронного аукциона в электронной форме, предметом которого являются многофункциональные устройства (МФУ) для оснащения объекта «Строительство корпуса общеобразовательной школы № 50 по ул. Каштановая аллея в г. Калининграде» (извещение № 0335300000223000344) (далее - Аукцион), и в результате внеплановой проверки, проведенной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10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Калининградской области 24.04.2023 поступила жалоба Заявителя на положения извещения об осуществлении закупки.</w:t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обоснование своей жалобы Заявитель привел следующий довод</w:t>
      </w:r>
      <w:bookmarkEnd w:id="12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указанная в документе «Описание объекта закупки» приложения № 1 к извещению Аукциона информация о товаре по позиции 1 «Многофункциональное устройство МФУ» содержит требование, а именно показатель «Максимальное разрешение сканирования по вертикали, ар1 - &gt; 9600; Максимальное разрешение сканирования по горизонтали, ёр1 - &gt; 9600», которое соответствует оборудованию единственного производителя - Сапоп.</w:t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даны следующие пояснения по сути жалобы Заявителя</w:t>
      </w:r>
      <w:bookmarkEnd w:id="14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Представители Заказчика не согласны с жалобой Заявителя. В обоснование своей позиции пояснили следующее. Потребности Заказчика являются определяющим фактором при установлении им соответствующих требований. При описании объекта закупки Заказчиком в соответствии с 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Правила) использованы характеристики КТРУ 26.20.18.000-00000069 «Многофункциональное устройство (МФЦ)», а именно Максимальное разрешение сканирования по вертикали, ёр1 - &gt; 9600; Максимальное разрешение сканирования по горизонтали, ёр1 - &gt; 9600. Кроме того, Заказчиком при формировании закупки запрошены (исх. № 30 от 30.03.2023) и получены коммерческие предложения (исх. № б/н от 04.04.2023; исх. № 825 от 03.04.2023; исх. № б/н от 04.04.2023) от 3 (трех) организаций, содержащие товары разных производителей, характеристики которых соответствуют потребностям Заказчика.</w:t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/>
        <w:ind w:left="114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Уполномоченным органом даны следующие пояснения по сути жалобы Заявителя</w:t>
      </w:r>
      <w:bookmarkEnd w:id="16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Представители Уполномоченного органа не согласны с жалобой Заявителя, поддерживают позицию Заказчика. По сути довода жалобы пояснили следующее. Заявка на осуществление закупки «Многофункциональное устройство (МФЦ)», направленная Заказчиком, содержит копии ценовых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7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(коммерческих) предложений в соответствии с которыми к поставке предлагаются товары разных производителей. В описание объекта закупки включены характеристики идентичные характеристикам, указанным в запросе о предоставлении ценового предложения. В связи с изложенным довод жалобы о том, что в описании объекта закупки установлены требования к товару, которые допускают к поставке товар только одного производителя (Сапоп), представители Уполномоченного органа считают несостоятельными.</w:t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/>
        <w:ind w:left="0" w:right="0" w:firstLine="580"/>
        <w:jc w:val="both"/>
      </w:pPr>
      <w:bookmarkStart w:id="18" w:name="bookmark1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результате рассмотрения жалобы и проведения в соответствии с частью 15 статьи 99 Закона о контрактной системе внеплановой проверки, Комиссия установила следующее</w:t>
      </w:r>
      <w:bookmarkEnd w:id="18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13.04.2023 Уполномоченным органом на официальном сайте единой информационной системы в сфере закупок (далее - официальный сайт, ЕИС) размещено извещение об осуществлении закупки № 0335300000223000344 (далее - Извещение).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цена контракта 3 776 199,92 рублей.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пункта 15 части 1 статьи 42 Закона о контрактной системе в извещении об осуществлении закупки должна содержаться информация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14 указанного Федерального закона.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 части 1 статьи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Из пункта 2 части 1 статьи 33 Закона о контрактной системе следует, что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4 Правил заказчики обязаны применять информацию, включенную в позицию каталога в 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2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8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2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2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8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из совокупности вышеуказанных норм следует, что заказчик наделен правом устанавливать описание объекта закупки в объеме необходимом и достаточном для обеспечения своих нужд. При этом Закон о контрактной системе не обязывает заказчика обосновывать свою потребность.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документе «Описание объекта закупки» приложения № 1 к извещению Аукциона по позиции 1 «Многофункциональное устройство МФУ» установлены функциональные, технические, качественные, эксплуатационные характеристики товара, в том числе показатель «Максимальное разрешение сканирования по вертикали, ёр1 - &gt;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9600;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Максимальное разрешение сканирования по горизонтали, ёр1 -&gt; 9600».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Указанная позиция КТРУ 26.20.18.000-00000001 содержит показатель «Максимальное разрешение сканирования по вертикали, йр1 - &gt; 9600; Максимальное разрешение сканирования по горизонтали, ёр1 - &gt; 9600».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извещению о проведении Аукциона объектом закупки является поставка многофункциональных устройств (МФУ) для оснащения объекта «Строительство корпуса общеобразовательной школы № 50 по ул. Каштановая аллея в г. Калининграде», которой соответствует позиция КТРУ 26.20.18.000-00000001 с характеристиками обязательными к применению, согласно позициям КТРУ.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Комиссия приходит к выводу о правомерности установления Заказчиком в документе «Описание объекта закупки» приложения № 1 к извещению Аукциона требования к товару по позиции 1 - «Многофункциональное устройство МФУ» с установленными показателями «Максимальное разрешение сканирования по вертикали, ёр1 - &gt; 9600; Максимальное разрешение сканирования по горизонтали, ёр1 - &gt; 9600».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учитывает тот факт, что Заявителем не было представлено каких-либо доказательств в обоснование своих доводов о том, что информация о товаре документа «Описание объекта закупки» приложения № 1 к извещению Аукциона по позиции 1 «Многофункциональное устройство МФУ» содержит требования, которые допускают к поставке оборудование одного производителя - Сапоп.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вышеуказанных обстоятельствах Комиссия, учитывая потребность Заказчика, а также отсутствие в рассматриваемом случае достаточных доказательств позиции Заявителя, приходит к выводу о необоснованности довода жалобы Заявителя.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обращает внимание, что довод жалобы Заявителя о возможном нарушении Заказчиком антимонопольного законодательства образуют самостоятельный предмет для рассмотрения в соответствии с порядком, предусмотренным Федеральным законом «О защите конкуренции» от 26.07.2006 № 135-ФЗ (далее - Закон о защите конкуренции), вследствие чего выходят за пределы рассмотрения жалобы о нарушении законодательства о контрактной системе в предусмотренном Законом о контрактной системе порядке.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2 части 2 статьи 39 Закона о защите конкуренции Заявитель имеет право обратится в Калининградское УФАС России с заявлением о нарушении антимонопольного законодательства.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Антимонопольный орган рассматривает дела о нарушении антимонопольного законодательства в соответствии с положениями главы 9 Закона о защите конкуренции и Административного регламента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Федерации, утвержденного приказом ФАС России от 25.05.2012 № 339 (далее - Административный регламент).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2 статьи 39 Закона о защите конкуренции одним из оснований для возбуждения и рассмотрения дела о нарушении антимонопольного законодательства является заявление юридического или физического лица, указывающего на признаки такого нарушения. Порядок подачи указанных заявлений установлен статьей 44 Закона о защите конкуренции и Административным регламентом.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положениями части 1 статьи 44 Закона о защите конкуренции и пункта 3.6 Административного регламента заявление подается в письменной форме в антимонопольный орган и должно содержать следующие сведения: 1) сведения о заявителе (фамилия, имя, отчество и адрес места жительства для физического лица; наименование и место нахождения для юридического лица); 2) имеющиеся у заявителя сведения о лице, в отношении которого подано заявление; 3) описание нарушения антимонопольного законодательства со ссылкой на нормативные правовые акты; 4) существо требований, с которыми заявитель обращается; 5) перечень прилагаемых документов.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2 статьи 44 Закона о защите конкуренции и пункту 3.8 Административного регламента к заявлению прилагаются документы, свидетельствующие о признаках нарушения антимонопольного законодательства. В случае невозможности представления документов указывается причина невозможности их представления, а также предполагаемые лицо или орган, у которых документы могут быть получены.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3.9 Административного регламента документы и сведения должны представлять собой оригиналы или копии оригиналов, заверенные подписью руководителя (уполномоченного лица) и печатью юридического лица (уполномоченного лица) или подписью физического лица (уполномоченного лица).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такое заявление должно содержать сведения,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Федерации, утвержденным приказом ФАС России от 25.05.2012 № 339, а также к заявлению должны быть приложены документы, свидетельствующие о фактах нарушения антимонопольного законодательства.В заседании Комиссии представители лиц, участвующих в рассмотрении жалобы, на вопрос председателя Комиссии о достаточности доказательств, представленных в материалы дела,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пояснили, что все доказательства, которые они намеревались представить, имеются в распоряжении Комиссии, иных доказательств, ходатайств, в том числе о представлении или истребовании дополнительных доказательств не имеется.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изложенным, руководствуясь частями 1, 4, 7 статьи 105, частью 8 статьи 106 Закона о контрактной системе, Комиссия</w:t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bookmarkStart w:id="20" w:name="bookmark2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20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«ЗВК.РУ» необоснованной.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4" w:right="538" w:bottom="1198" w:left="67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19100" distB="356235" distL="0" distR="0" simplePos="0" relativeHeight="125829381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419100</wp:posOffset>
                </wp:positionV>
                <wp:extent cx="1828800" cy="24701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100000000000001pt;margin-top:33.pt;width:144.pt;height:19.449999999999999pt;z-index:-125829372;mso-wrap-distance-left:0;mso-wrap-distance-top:33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86410" distB="0" distL="0" distR="1789430" simplePos="0" relativeHeight="125829383" behindDoc="0" locked="0" layoutInCell="1" allowOverlap="1">
            <wp:simplePos x="0" y="0"/>
            <wp:positionH relativeFrom="page">
              <wp:posOffset>2658110</wp:posOffset>
            </wp:positionH>
            <wp:positionV relativeFrom="paragraph">
              <wp:posOffset>486410</wp:posOffset>
            </wp:positionV>
            <wp:extent cx="353695" cy="53657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3121660</wp:posOffset>
                </wp:positionH>
                <wp:positionV relativeFrom="paragraph">
                  <wp:posOffset>889000</wp:posOffset>
                </wp:positionV>
                <wp:extent cx="1276985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80000000000001pt;margin-top:70.pt;width:100.5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577850</wp:posOffset>
                </wp:positionV>
                <wp:extent cx="1725295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20000000000002pt;margin-top:45.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19100" distB="356235" distL="0" distR="0" simplePos="0" relativeHeight="125829384" behindDoc="0" locked="0" layoutInCell="1" allowOverlap="1">
                <wp:simplePos x="0" y="0"/>
                <wp:positionH relativeFrom="page">
                  <wp:posOffset>6080760</wp:posOffset>
                </wp:positionH>
                <wp:positionV relativeFrom="paragraph">
                  <wp:posOffset>419100</wp:posOffset>
                </wp:positionV>
                <wp:extent cx="1106170" cy="24701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И.С. Болтенко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8.80000000000001pt;margin-top:33.pt;width:87.100000000000009pt;height:19.449999999999999pt;z-index:-125829369;mso-wrap-distance-left:0;mso-wrap-distance-top:33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И.С. Болтенко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0707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Болтенко Ирина Сергеевна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30474В9В4528ЕЕ32ЕОЕВ6080800СЕЮВ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12.07.2022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05.10.2023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75" w:line="240" w:lineRule="auto"/>
        <w:ind w:left="0" w:right="0" w:firstLine="0"/>
        <w:jc w:val="center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2658110</wp:posOffset>
            </wp:positionH>
            <wp:positionV relativeFrom="paragraph">
              <wp:posOffset>50800</wp:posOffset>
            </wp:positionV>
            <wp:extent cx="353695" cy="40259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142240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20000000000002pt;margin-top:11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В.И. Прудникова</w:t>
      </w:r>
    </w:p>
    <w:p>
      <w:pPr>
        <w:pStyle w:val="Style1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AEAE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СВЕДЕНИЯ О </w:t>
      </w: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СЕРТИФИКАТЕ </w:t>
      </w:r>
      <w:r>
        <w:rPr>
          <w:rFonts w:ascii="Georgia" w:eastAsia="Georgia" w:hAnsi="Georgia" w:cs="Georgia"/>
          <w:color w:val="EAEAE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ЭП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4242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0707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Прудникова Виктория Игоревна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4В24А5В230000В9С5ВЕ67А951080Е996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17.08.2022 по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10.11.2023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2646045</wp:posOffset>
            </wp:positionH>
            <wp:positionV relativeFrom="paragraph">
              <wp:posOffset>50800</wp:posOffset>
            </wp:positionV>
            <wp:extent cx="365760" cy="54864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3121660</wp:posOffset>
                </wp:positionH>
                <wp:positionV relativeFrom="paragraph">
                  <wp:posOffset>462280</wp:posOffset>
                </wp:positionV>
                <wp:extent cx="127698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80000000000001pt;margin-top:36.399999999999999pt;width:100.5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20000000000002pt;margin-top:11.700000000000001pt;width:135.84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Ю.А. Зацепина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0707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Зацепина Юлия Александровна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00Е2768О3765АВ912027Е2Е58АВАЕЕ365С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10.01.2023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04.04.2024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 w:line="27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9 статьи 106 Закона о контрактной системе, решение может быть обжаловано в судебном</w:t>
        <w:br/>
        <w:t>порядке в течение трех месяцев со дня его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9" w:right="545" w:bottom="1119" w:left="67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9996805</wp:posOffset>
              </wp:positionV>
              <wp:extent cx="62801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801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2023-2111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87.14999999999998pt;width:49.450000000000003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2023-2111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9996805</wp:posOffset>
              </wp:positionV>
              <wp:extent cx="62801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801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2023-2111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87.14999999999998pt;width:49.450000000000003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2023-2111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5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Другое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Основной текст (3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Основной текст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4">
    <w:name w:val="Подпись к картинк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27">
    <w:name w:val="Заголовок №1_"/>
    <w:basedOn w:val="DefaultParagraphFont"/>
    <w:link w:val="Style2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1">
    <w:name w:val="Заголовок №2_"/>
    <w:basedOn w:val="DefaultParagraphFont"/>
    <w:link w:val="Style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34">
    <w:name w:val="Основной текст (2)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color w:val="3A3A3A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5)"/>
    <w:basedOn w:val="Normal"/>
    <w:link w:val="CharStyle6"/>
    <w:pPr>
      <w:widowControl w:val="0"/>
      <w:shd w:val="clear" w:color="auto" w:fill="auto"/>
      <w:spacing w:after="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10" w:line="26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Другое"/>
    <w:basedOn w:val="Normal"/>
    <w:link w:val="CharStyle1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Основной текст (3)"/>
    <w:basedOn w:val="Normal"/>
    <w:link w:val="CharStyle17"/>
    <w:pPr>
      <w:widowControl w:val="0"/>
      <w:shd w:val="clear" w:color="auto" w:fill="auto"/>
      <w:spacing w:after="280"/>
      <w:ind w:left="9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Основной текст"/>
    <w:basedOn w:val="Normal"/>
    <w:link w:val="CharStyle22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3">
    <w:name w:val="Подпись к картинке"/>
    <w:basedOn w:val="Normal"/>
    <w:link w:val="CharStyle2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26">
    <w:name w:val="Заголовок №1"/>
    <w:basedOn w:val="Normal"/>
    <w:link w:val="CharStyle27"/>
    <w:pPr>
      <w:widowControl w:val="0"/>
      <w:shd w:val="clear" w:color="auto" w:fill="auto"/>
      <w:ind w:left="94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30">
    <w:name w:val="Заголовок №2"/>
    <w:basedOn w:val="Normal"/>
    <w:link w:val="CharStyle31"/>
    <w:pPr>
      <w:widowControl w:val="0"/>
      <w:shd w:val="clear" w:color="auto" w:fill="auto"/>
      <w:spacing w:after="280" w:line="276" w:lineRule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33">
    <w:name w:val="Основной текст (2)"/>
    <w:basedOn w:val="Normal"/>
    <w:link w:val="CharStyle34"/>
    <w:pPr>
      <w:widowControl w:val="0"/>
      <w:shd w:val="clear" w:color="auto" w:fill="auto"/>
      <w:ind w:left="35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A3A3A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