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1о77@Га8.аоу.ги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ФКУ «Росдоринформсвязь»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8Ъа1юкт@о-пух.ги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«Оникс»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хакирИ@гШ8.Гай.ги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«Информационные технологии консалтинг транс»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т&amp;@йс1тап8.ги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«К2 Интеграция»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тГо@к2т1.ги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407" w:right="1592" w:bottom="1282" w:left="1131" w:header="0" w:footer="854" w:gutter="0"/>
          <w:pgNumType w:start="1"/>
          <w:cols w:num="2" w:space="129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т&amp;@118-1:епдег.ги</w:t>
      </w:r>
    </w:p>
    <w:p>
      <w:pPr>
        <w:widowControl w:val="0"/>
        <w:spacing w:line="120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46" w:right="0" w:bottom="121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№077/06/106-26241-ЭП/23/2023 о нарушении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конференц-связи) в целях исполнения Указа Мэра Москвы от 25.09.2020 № 92- 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ФКУ «Росдоринформсвязь», ООО «Оникс»,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АО «К2 Интеграция», «Информационные технологии консалтинг транс», о времени и порядке заседания Комиссии Управления уведомленных надлежащим образом письмом Московского УФАС России,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«Оникс» (далее — Заявитель) на действия ФКУ «Росдоринформсвязь» (далее — Заказчик) при проведении электронного аукциона на право заключения государственного контракта на развитие системы бесперебойного электроснабжения Корпоративной информационной системы управления и Автоматизированной системы управления Федерального дорожного агентства (КИСУ/АСУ Росавтодора) в части замены ДГУ в подведомственных учреждениях Федерального дорожного агентства (Закупка №0373100044923000004)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электронного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комиссией по осуществлению закупок Заказчика нарушены нормы Закона о контрактной системе в результате признания соответствующей требованиям извещения заявки АО «К2 Интеграция», ООО «Информационные технологии консалтинг транс».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18.04.2023 №ИЭА1 заявки участников закупки ООО «Информационные технологии консалтинг транс», с идентификационным номером 113995378, АО «К2 Интеграция», с идентификационным номером 114037767, признаны соответствующими требованиям извещения.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п.1 ч.1 ст.33 Закона о контрактной системе в описании объекта закупки указываются функциональные, технические и качественные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характеристики, эксплуатационные характеристики объекта закупки (при необходимости).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Заказчиком в описании объекта закупочной процедуры Заказчиком установлены требования к характеристикам необходимых товаров, например: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555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</w:t>
        <w:tab/>
        <w:t>Требования к поставляемому оборудованию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11.1 Основные технические характеристики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Исполнитель должен поставить ДГУ, автоматизированной в объеме второй степени, в шумозащитном кожухе, номинальной электрической мощностью 40 кВт, с выходным напряжением 0,4 кВ, частотой 50 Гц.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ДГУ блочно-модульная автоматизированная в шумозащитном кожухе должна представлять собой изделие максимальной заводской готовности.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Основное топливо ДГУ- дизельное топливо по ГОСТ 305-2013 (зимнее).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Условия эксплуатации: диапазон температур от -50°С до +40°С.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Назначение оборудования: резервный (аварийный) источник питания электрооборудования.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Режим работы оборудования: круглогодичный 24 часа в сутки при нагрузке 80% от номинальной.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ДГУ должна состоять из дизельного двигателя, генератора, радиатора, контроллера, панели переключения нагрузки и панели управления ДГУ с русскоязычным интерфейсом.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ДГУ должна монтироваться на общей опорной стальной раме. Во избежание возникновения шумов и вибраций крепление двигателя и генератора к раме должно быть выполнено через виброизоляторы. Радиатор двигателя должен располагаться на раме ДГУ и быть снабжен вентилятором с приводом от коленчатого вала дизельного двигателя.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Вспомогательное (механическое и электрическое) оборудование ДГУ, аппаратура контроля и управления двигателем должна быть установлена непосредственно на ДГУ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ст.49 Закона о контрактной системе заявка на участие в закупке должна содержать информацию и документы, предусмотренные пп.«м» - «п» п.1, пп.«а» - 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 ч.1 ст.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 43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 43 Закона о контрактной системе предложение по критериям, предусмотренным п.2 и (или) 3 ч.1 ст.32 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извещения Заказчиком установлены в том числе следующие требования к составу заявки на участие в закупке: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формировании предложения участника закупки в отношении объекта закупки: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1) информация о товаре, предусмотренная подпунктами «а» и «б» пункта 2 части 1 статьи 43 Закона № 44-ФЗ, включается в заявку на участие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закупке в случае осуществления закупки товара, в том числе поставляемого заказчику при выполнении закупаемых работ, оказании закупаемых услуг. Информация, предусмотренная подпунктом «а» пункта 2 части 1 статьи 43 Закона № 44-ФЗ,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информация, предусмотренная подпунктами «а» и «г» пункта 2 части 1 статьи 43 Закона № 44-ФЗ, не включается в заявку на участие в закупке в случае включения заказчиком в соответствии с пунктом 8 части 1 статьи 33 Закона № 44-ФЗ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п.1 - 8 ч.12 ст.48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ч.12.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9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9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9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ст.31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9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9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9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939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9" w:val="left"/>
        </w:tabs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Заявителя пояснил, что, по мнению Заявителя, заявки участников закупки ООО «Информационные технологии консалтинг транс», с идентификационным номером 113995378, АО «К2 Интеграция», с идентификационным номером 114037767, не соответствуют требования извещения, так как в составе таких заявок не представлены конкретные показатели предложенного к поставке товара.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обоснование своих доводов представитель Заявителя указывает на положения проекта контракта, заключаемого с победителем закупки ООО «Информационные технологии консалтинг транс».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в составе заявок участников закупки представлены конкретные показатели необходимых товаров и указание в проекте контракта диапазонных значений является технической ошибкой Заказчика, которая была устранена Заказчиком посредством размещения доработанного проекта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осуществлена проверка заявок участников закупки, в ходе которой установлено, что участниками закупки представлены конкретные сведения о предлагаемых товарах, например, в заявке ООО «Информационные технологии консалтинг транс» указано в том числе следующее: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Основные технические характеристики ДГУ Дизельный генератор АД- 30С#Т400-2РК в кожухе на базе двигателя С1М\П\У (Комплектация: Панель переклучения нагрузки, подогреватель ОЖ от 220V подзарядка АКБ).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Страна происхождения: Российская Федерация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Исполнитель поставляет ДГУ, автоматизированной в объеме второй степени, в шумозащитном кожухе, номинальной электрической мощностью 40 кВт, с выходным напряжением 0,4 кВ, частотой 50 Гц.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ДГУ блочно-модульная автоматизированная в шумозащитном кожухе представляет собой изделие максимальной заводской готовности.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Основное топливо ДГУ- дизельное топливо по ГОСТ 305-2013 (зимнее).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Условия эксплуатации: диапазон температур от -50°С до +40°С.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Назначение оборудования: резервный (аварийный) источник питания электрооборудования.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Режим работы оборудования: круглогодичный 24 часа в сутки при нагрузке 80% от номинальной.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ДГУ состоит из дизельного двигателя, генератора, радиатора, контроллера, панели переключения нагрузки и панели управления ДГУ с русскоязычным интерфейсом.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ДГУ монтируется на общей опорной стальной раме. Во избежание возникновения шумов и вибраций крепление двигателя и генератора к раме выполняется через виброизоляторы. Радиатор двигателя располагается на раме ДГУ и снабжен вентилятором с приводом от коленчатого вала дизельного двигателя.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Вспомогательное (механическое и электрическое) оборудование ДГУ, аппаратура контроля и управления двигателем устанавливается непосредственно на ДГУ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Комиссия Управления приходит к выводу, что доводы жалобы Заявителя не нашли своего подтверждения и являются необоснованными.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в ходе внеплановой проверки Комиссией Управления установлено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приглашение, документация о закупке, заявка не предусмотрены. В случае, предусмотренном ч.24 ст.22 Закона о контрактной системе,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ч.1 ст.51 Закона о контрактной системе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Законом о контрактной системе, с иным участником закупки (далее в настоящей статье - участник закупки, с которым заключается контракт) не ранее чем через десять дней (если Законом о контрактной системе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пп.«а» п.2 ч.6 ст.51 Закона о контрактной системе, после предоставления участником закупки, с которым заключается контракт, обеспечения исполнения контракта в соответствии с требованиями Закона о контрактной системе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Законом о контрактной системе, обязаны подписать контракт в порядке, установленном ст.51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п.1 ч.2 ст.51 Закона о контрактной системе не позднее двух рабочих дней, следующих за днем размещения в единой информационной системе протоколов, указанных в части 1 ст. 51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п.5 ч.2 ст.42 Закона о контрактной системе, который должен содержать: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информацию, предусмотренную частью 6 статьи 30, пунктами 1, 2, 5 - 8, 10, 17, 18 и 20 ч.1 ст.42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цену контракта, соответствующую цене контракта, предложенной в соответствии с Законом о контрактной системе участником закупки, с которым заключается контракт, с учетом положений нормативных правовых актов, принятых в соответствии со ст.14 Закона о контрактной системе, положений ст.28 и 29 Закона о контрактной системе, цену каждого отдельного этапа исполнения контракта, определенную в соответствии с ч.2 ст.34 Закона о контрактной системе (если проектом контракта предусмотрены отдельные этапы его исполнения). Предусмотренная настоящим подпунктом информация включается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проект контракта, за исключением случаев включения в него информации, предусмотренной подпунктами «в» или «г» настоящего пункта;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максимальное значение цены контракта и цену единицы товара, работы, услуги, соответствующие максимальному значению цены контракта, указанному в извещении об осуществлении закупки, с учетом положений нормативных правовых актов, принятых в соответствии со ст.14 Закона о контрактной системе, положений ст.28 и 29 Закона о контрактной системе (в случае, предусмотренном ч.24 ст.22 Закона о контрактной системе). При этом цена единицы товара, работы, услуги определяется путем уменьшения начальной цены такой единицы, указанной в извещении об осуществлении закупки, пропорционально снижению начальной суммы цен единиц товаров, работ, услуг, предложенному участником закупки, с которым заключается контракт;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размер платы, подлежащей внесению в соответствии с Законом о контрактной системе участником закупки, с которым заключается контракт, за заключение контракта на счет, на котором в соответствии с законодательством Российской Федерации учитываются операции со средствами, поступающими заказчику (в случаях, предусмотренных Законом о контрактной системе);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информацию, предусмотренную подпунктами «а», «б», «г», «е» и «п» пункта 1, подпунктами «а» и «б» п.2 ч.1 ст.43 Закона о контрактной системе, а также информацию, предусмотренную подпунктом «г» п.2 указанной части, в случае проведения электронного конкурса. При этом информация, предусмотренная подпунктами «а», «б», «г» и «е» п.1 ч.1 ст.43 Закона о контрактной системе, указывается с использованием единой информационной системы по состоянию на дату и время формирования проекта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документы (при наличии).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19.04.2023 Заказчиком размещен проект контракта, однако положения проекта контракта размещены Заказчиком без учета сведений, указанных в составе заявки победителя закупочной процедуры, например: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6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 Требования к поставляемому оборудованию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11.1 Основные технические характеристики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Исполнитель должен поставить ДГУ, автоматизированной в объеме второй степени, в шумозащитном кожухе, номинальной электрической мощностью 40 кВт, с выходным напряжением 0,4 кВ, частотой 50 Гц.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ДГУ блочно-модульная автоматизированная в шумозащитном кожухе должна представлять собой изделие максимальной заводской готовности.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Основное топливо ДГУ- дизельное топливо по ГОСТ 305-2013 (зимнее).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Условия эксплуатации: диапазон температур от -50°С до +40°С.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Назначение оборудования: резервный (аварийный) источник питания электрооборудования.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Режим работы оборудования: круглогодичный 24 часа в сутки при нагрузке 80% от номинальной.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ДГУ должна состоять из дизельного двигателя, генератора, радиатора, контроллера, панели переключения нагрузки и панели управления ДГУ с русскоязычным интерфейсом.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ДГУ должна монтироваться на общей опорной стальной раме. Во избежание возникновения шумов и вибраций крепление двигателя и генератора к раме должно быть выполнено через виброизоляторы. Радиатор двигателя должен располагаться на раме ДГУ и быть снабжен вентилятором с приводом от коленчатого вала дизельного двигателя.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Вспомогательное (механическое и электрическое) оборудование ДГУ, аппаратура контроля и управления двигателем должна быть установлена непосредственно на ДГУ.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Основные технические характеристики ДГУ должны соответствовать значениям, приведенным в таблице 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проект контракта сформирован Заказчиком в нарушение ч.1 ст.34 Закона о контрактной системе, так как составлен не на условиях, указанных в составе заявки участника закупки,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 ст.7.32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Комиссией Управления установлено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п.2 ч.3 ст.51 Закона о контрактной системе не позднее пяти рабочих дней, следующих за днем размещения заказчиком в соответствии с ч.2 ст.51 закона о контрактной системе, участник закупки, с которым заключается контракт,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 в одном или нескольких из следующих случаев: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разногласий в отношении информации, включенной в проект контракта в соответствии с п.1 ч.2 ст.51 Закона о контрактной системе, с указанием информации, не соответствующей требованиям, установленным в извещении об осуществлении закупки, и положениям заявки такого участника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несогласие заключить контракт, содержащий условия, предусмотренные п.2 ч.2 ст.51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24.04.2023 победителем закупочной процедуры размещен протокол разногласий.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ст.51 Закона о контрактной системе не позднее двух рабочих дней, следующих за днем размещения участником закупки, с которым заключается контракт, информации и документов в соответствии с ч.3 ст.51 Закона о контрактной системе, заказчик осуществляет одно из следующих действий: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размещает в единой информационной системе и на электронной площадке (с использованием единой информационной системы) подписанный усиленной электронной подписью лица, имеющего право действовать от имени заказчика, контракт (за исключением случаев, установленных Законом о контрактной системе, и не ранее срока, предусмотренного ч.1 ст.51 Закона о контрактной системе) в случае, если участник закупки, с которым заключается контракт, разместил информацию и документы в соответствии с п.1 ч.3 ст.51 Закона о контрактной системе. Если по результатам определения поставщика (подрядчика, исполнителя) в соответствии с Законом о контрактной системе определен размер платы, подлежащей внесению участником закупки за заключение контракта, действия, предусмотренные настоящим пунктом, осуществляются заказчиком при условии поступления на счет, на котором в соответствии с законодательством Российской Федерации учитываются операции со средствами, поступающими заказчику, денежных средств в размере платы, подлежащей внесению за заключение контракта, предложенной участником закупки, с которым заключается контракт;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с учетом информации, содержащейся в протоколе разногласий, размещенном участником закупки, с которым заключается контракт, в соответствии с п.2 ч.3 ст.51 Закона о контрактной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без учета либо с частичным учетом информации, содержащейся в протоколе разногласий, размещенном участником закупки, с которым заключается контракт, в соответствии с п.2 ч.3 ст.51 Закона о контрактной системе. При таком размещении заказчик также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(без размещения на официальном сайте) информацию о причинах отказа учесть полностью или частично информацию, содержащуюся в протоколе разногласий. При этом информация, предусмотренная пп.«б» п.2 ч.3 ст.51 Закона о контрактной системе, подлежит обязательному учету.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.04.2023 Заказчиком, во исполнение положений ч.4 ст.51 Закона о контрактной системе, в единой информационной системе размещен доработанный проект государственного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размещенный Заказчиком доработанный проект государственного контракта содержит в том числе следующее положение: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Климатическое исполнение шумозащитного кожуха будет обеспечивать эксплуатацию при параметрах окружающей среды, указанных в таблице 2.</w:t>
      </w:r>
    </w:p>
    <w:tbl>
      <w:tblPr>
        <w:tblOverlap w:val="never"/>
        <w:jc w:val="center"/>
        <w:tblLayout w:type="fixed"/>
      </w:tblPr>
      <w:tblGrid>
        <w:gridCol w:w="854"/>
        <w:gridCol w:w="4531"/>
        <w:gridCol w:w="4272"/>
      </w:tblGrid>
      <w:tr>
        <w:trPr>
          <w:trHeight w:val="288" w:hRule="exact"/>
        </w:trPr>
        <w:tc>
          <w:tcPr>
            <w:gridSpan w:val="3"/>
            <w:tcBorders/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Таблица 2 - Параметры окружающей среды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Характеристика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Значение</w:t>
            </w:r>
          </w:p>
        </w:tc>
      </w:tr>
      <w:tr>
        <w:trPr>
          <w:trHeight w:val="6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Температура окружающего воздуха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минус 50С - плюс 45С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Относительная влажность воздуха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98% при +25С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Запыленность воздуха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500 мг/м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ru-RU" w:eastAsia="ru-RU" w:bidi="ru-RU"/>
              </w:rPr>
              <w:t>3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Воздействие атмосферных осадков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дождь, снег, иней, роса</w:t>
            </w:r>
          </w:p>
        </w:tc>
      </w:tr>
      <w:tr>
        <w:trPr>
          <w:trHeight w:val="34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Максимальная скорость ветра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50 м/с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составе заявки победителя закупочной процедуры ООО «Информационные технологии консалтинг транс» вышеуказанное положение изложено иным образом: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«Климатическое исполнение шумозащитного кожуха будет обеспечивать эксплуатацию при параметрах окружающей среды, указанных в таблице 2.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86" w:right="0" w:firstLine="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Таблица 2 - Параметры окружающей среды</w:t>
      </w:r>
    </w:p>
    <w:tbl>
      <w:tblPr>
        <w:tblOverlap w:val="never"/>
        <w:jc w:val="center"/>
        <w:tblLayout w:type="fixed"/>
      </w:tblPr>
      <w:tblGrid>
        <w:gridCol w:w="682"/>
        <w:gridCol w:w="4709"/>
        <w:gridCol w:w="4267"/>
      </w:tblGrid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п/п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Характеристика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Значение</w:t>
            </w:r>
          </w:p>
        </w:tc>
      </w:tr>
      <w:tr>
        <w:trPr>
          <w:trHeight w:val="65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1.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Температура окружающего воздуха</w:t>
            </w:r>
          </w:p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У1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минус 50</w:t>
            </w:r>
            <w:r>
              <w:rPr>
                <w:color w:val="333333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 xml:space="preserve">°С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плюс 45</w:t>
            </w:r>
            <w:r>
              <w:rPr>
                <w:color w:val="333333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°С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Относительная влажность воздуха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до 98% при +25</w:t>
            </w:r>
            <w:r>
              <w:rPr>
                <w:color w:val="333333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°С</w:t>
            </w:r>
          </w:p>
        </w:tc>
      </w:tr>
      <w:tr>
        <w:trPr>
          <w:trHeight w:val="33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3.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Запыленность воздуха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333333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до 500 мг/м3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4.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Воздействие атмосферных осадков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дождь, снег, иней, роса</w:t>
            </w:r>
          </w:p>
        </w:tc>
      </w:tr>
      <w:tr>
        <w:trPr>
          <w:trHeight w:val="34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5.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Максимальная скорость ветра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1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до 50 м/с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вышеизложенного, Комиссия Управления приходит к выводу, что доработанный проект контракта размещен Заказчиком не на условиях заявки участника закупочной процедуры, с которым заключается контракт.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проект контракта сформирован Заказчиком в нарушение ч.1 ст.34 Закона о контрактной системе, так как составлен не на условиях, указанных в составе заявки участника закупки,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 ст.7.32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46" w:right="1097" w:bottom="1214" w:left="1084" w:header="0" w:footer="786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«Оникс» на действия комиссии по осуществлению закупок ФКУ «Росдоринформсвязь» необоснованной.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нарушения ч.1 ст.34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0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06" w:val="left"/>
        </w:tabs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7714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Е.А. Миронова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5619115</wp:posOffset>
                </wp:positionH>
                <wp:positionV relativeFrom="paragraph">
                  <wp:posOffset>12700</wp:posOffset>
                </wp:positionV>
                <wp:extent cx="1182370" cy="250190"/>
                <wp:wrapSquare wrapText="lef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И.И. Фурсиков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442.44999999999999pt;margin-top:1.pt;width:93.100000000000009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И.И. Фурсиков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680" w:line="240" w:lineRule="auto"/>
        <w:ind w:left="0" w:right="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pgSz w:w="11900" w:h="16840"/>
      <w:pgMar w:top="1662" w:right="1112" w:bottom="1523" w:left="1107" w:header="0" w:footer="1095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3721100</wp:posOffset>
              </wp:positionH>
              <wp:positionV relativeFrom="page">
                <wp:posOffset>754380</wp:posOffset>
              </wp:positionV>
              <wp:extent cx="133985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93.pt;margin-top:59.399999999999999pt;width:10.55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таблиц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Друго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таблице"/>
    <w:basedOn w:val="Normal"/>
    <w:link w:val="CharStyle14"/>
    <w:pPr>
      <w:widowControl w:val="0"/>
      <w:shd w:val="clear" w:color="auto" w:fill="auto"/>
      <w:ind w:firstLine="7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Другое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/Relationships>
</file>