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597535"/>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597535"/>
                    </a:xfrm>
                    <a:prstGeom prst="rect"/>
                  </pic:spPr>
                </pic:pic>
              </a:graphicData>
            </a:graphic>
          </wp:inline>
        </w:drawing>
      </w:r>
    </w:p>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ФЕДЕРАЛЬНАЯ</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АНТИМОНОПОЛЬНАЯ СЛУЖБА</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по г. Москве</w:t>
      </w:r>
    </w:p>
    <w:p>
      <w:pPr>
        <w:pStyle w:val="Style4"/>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Мясницкий проезд, д.4, стр. 1 107078, г. Москва, тел. (495) 784-75-05, факс (495) 607-49-29 факс (495) 607-42-92, </w:t>
      </w:r>
      <w:r>
        <w:rPr>
          <w:spacing w:val="0"/>
          <w:w w:val="100"/>
          <w:position w:val="0"/>
          <w:u w:val="single"/>
          <w:shd w:val="clear" w:color="auto" w:fill="auto"/>
          <w:lang w:val="ru-RU" w:eastAsia="ru-RU" w:bidi="ru-RU"/>
        </w:rPr>
        <w:t>е-тай: 1о77@Га8.еоу.п1</w:t>
      </w:r>
    </w:p>
    <w:p>
      <w:pPr>
        <w:widowControl w:val="0"/>
        <w:jc w:val="center"/>
        <w:rPr>
          <w:sz w:val="2"/>
          <w:szCs w:val="2"/>
        </w:rPr>
      </w:pPr>
      <w:r>
        <w:drawing>
          <wp:inline>
            <wp:extent cx="2597150" cy="993775"/>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993775"/>
                    </a:xfrm>
                    <a:prstGeom prst="rect"/>
                  </pic:spPr>
                </pic:pic>
              </a:graphicData>
            </a:graphic>
          </wp:inline>
        </w:drawing>
      </w:r>
    </w:p>
    <w:p>
      <w:pPr>
        <w:pStyle w:val="Style7"/>
        <w:keepNext w:val="0"/>
        <w:keepLines w:val="0"/>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ru-RU" w:eastAsia="ru-RU" w:bidi="ru-RU"/>
        </w:rPr>
        <w:t>ООО «РЕМСТРОЙ»</w:t>
      </w:r>
    </w:p>
    <w:p>
      <w:pPr>
        <w:pStyle w:val="Style7"/>
        <w:keepNext w:val="0"/>
        <w:keepLines w:val="0"/>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ru-RU" w:eastAsia="ru-RU" w:bidi="ru-RU"/>
        </w:rPr>
        <w:t>§1гоЕг3т@уапдех.ги</w:t>
      </w:r>
    </w:p>
    <w:p>
      <w:pPr>
        <w:pStyle w:val="Style7"/>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ru-RU" w:eastAsia="ru-RU" w:bidi="ru-RU"/>
        </w:rPr>
        <w:t>ГБУЗ ИКБ № 2 ДЗМ</w:t>
      </w:r>
    </w:p>
    <w:p>
      <w:pPr>
        <w:pStyle w:val="Style9"/>
        <w:keepNext w:val="0"/>
        <w:keepLines w:val="0"/>
        <w:widowControl w:val="0"/>
        <w:shd w:val="clear" w:color="auto" w:fill="auto"/>
        <w:bidi w:val="0"/>
        <w:spacing w:before="0" w:after="24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1кЬ2-1огд@та11.ш</w:t>
      </w:r>
    </w:p>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АО «Единая электронная торговая площадка»</w:t>
      </w:r>
    </w:p>
    <w:p>
      <w:pPr>
        <w:pStyle w:val="Style7"/>
        <w:keepNext w:val="0"/>
        <w:keepLines w:val="0"/>
        <w:widowControl w:val="0"/>
        <w:shd w:val="clear" w:color="auto" w:fill="auto"/>
        <w:bidi w:val="0"/>
        <w:spacing w:before="0" w:after="0" w:line="240" w:lineRule="auto"/>
        <w:ind w:left="0" w:right="0" w:firstLine="0"/>
        <w:jc w:val="left"/>
        <w:sectPr>
          <w:headerReference w:type="default" r:id="rId9"/>
          <w:headerReference w:type="first" r:id="rId10"/>
          <w:footnotePr>
            <w:pos w:val="pageBottom"/>
            <w:numFmt w:val="decimal"/>
            <w:numRestart w:val="continuous"/>
          </w:footnotePr>
          <w:pgSz w:w="11900" w:h="16840"/>
          <w:pgMar w:top="298" w:right="1343" w:bottom="1423" w:left="1332" w:header="0" w:footer="3" w:gutter="0"/>
          <w:pgNumType w:start="1"/>
          <w:cols w:num="2" w:space="720" w:equalWidth="0">
            <w:col w:w="3773" w:space="1301"/>
            <w:col w:w="4152"/>
          </w:cols>
          <w:noEndnote/>
          <w:titlePg/>
          <w:rtlGutter w:val="0"/>
          <w:docGrid w:linePitch="360"/>
        </w:sectPr>
      </w:pPr>
      <w:r>
        <w:rPr>
          <w:color w:val="000000"/>
          <w:spacing w:val="0"/>
          <w:w w:val="100"/>
          <w:position w:val="0"/>
          <w:shd w:val="clear" w:color="auto" w:fill="auto"/>
          <w:lang w:val="ru-RU" w:eastAsia="ru-RU" w:bidi="ru-RU"/>
        </w:rPr>
        <w:t>ко@го8екогд.ги</w:t>
      </w:r>
    </w:p>
    <w:p>
      <w:pPr>
        <w:widowControl w:val="0"/>
        <w:spacing w:line="240" w:lineRule="exact"/>
        <w:rPr>
          <w:sz w:val="19"/>
          <w:szCs w:val="19"/>
        </w:rPr>
      </w:pPr>
    </w:p>
    <w:p>
      <w:pPr>
        <w:widowControl w:val="0"/>
        <w:spacing w:before="53" w:after="5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953" w:right="0" w:bottom="968" w:left="0" w:header="0" w:footer="3" w:gutter="0"/>
          <w:cols w:space="720"/>
          <w:noEndnote/>
          <w:rtlGutter w:val="0"/>
          <w:docGrid w:linePitch="360"/>
        </w:sectPr>
      </w:pPr>
    </w:p>
    <w:p>
      <w:pPr>
        <w:pStyle w:val="Style7"/>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7"/>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077/06/106-АК9/2023 о нарушении</w:t>
        <w:br/>
        <w:t>законодательства о контрактной системе</w:t>
      </w:r>
    </w:p>
    <w:p>
      <w:pPr>
        <w:pStyle w:val="Style7"/>
        <w:keepNext w:val="0"/>
        <w:keepLines w:val="0"/>
        <w:widowControl w:val="0"/>
        <w:shd w:val="clear" w:color="auto" w:fill="auto"/>
        <w:tabs>
          <w:tab w:pos="8957" w:val="left"/>
        </w:tabs>
        <w:bidi w:val="0"/>
        <w:spacing w:before="0" w:after="0" w:line="240" w:lineRule="auto"/>
        <w:ind w:left="0" w:right="0" w:firstLine="0"/>
        <w:jc w:val="both"/>
      </w:pPr>
      <w:r>
        <w:rPr>
          <w:b/>
          <w:bCs/>
          <w:color w:val="000000"/>
          <w:spacing w:val="0"/>
          <w:w w:val="100"/>
          <w:position w:val="0"/>
          <w:shd w:val="clear" w:color="auto" w:fill="auto"/>
          <w:lang w:val="ru-RU" w:eastAsia="ru-RU" w:bidi="ru-RU"/>
        </w:rPr>
        <w:t>02.05.2023</w:t>
        <w:tab/>
        <w:t>г. Москва</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(далее - Комиссия Управления) в составе:</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С.И. Казарина,</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Членов Комиссии:</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Кутейникова,</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Э.З. Гугава,</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2019-пСоУ,</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участии представителя ГБУЗ ИКБ № 2 ДЗМ: Балякина И.В. (по доверенности от 15.04.2023 №б/н),</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отсутствие представителей ООО «Ремстрой», о времени и порядке заседания Комиссии Управления уведомленных надлежащим образом,</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рассмотрев жалобу ООО «Ремстрой» (далее — Заявитель) на действия ГБУЗ ИКБ № 2 ДЗМ (далее — Заказчик) при проведении электронного аукциона на право заключения государственного контракта на выполнение работ по техническому обслуживанию автоматической пожарной сигнализации, системы оповещения о пожаре и эвакуации людей в ГБУЗ ИКБ № 2 ДЗМ (Закупка № 0373200053623000138) (далее — аукцион), в соответствии с Федеральным законом от 05.04.2013 №44-ФЗ</w:t>
      </w:r>
    </w:p>
    <w:p>
      <w:pPr>
        <w:pStyle w:val="Style7"/>
        <w:keepNext w:val="0"/>
        <w:keepLines w:val="0"/>
        <w:widowControl w:val="0"/>
        <w:shd w:val="clear" w:color="auto" w:fill="auto"/>
        <w:bidi w:val="0"/>
        <w:spacing w:before="0" w:after="280" w:line="240" w:lineRule="auto"/>
        <w:ind w:left="0" w:right="0" w:firstLine="0"/>
        <w:jc w:val="both"/>
      </w:pPr>
      <w:r>
        <w:rPr>
          <w:color w:val="000000"/>
          <w:spacing w:val="0"/>
          <w:w w:val="100"/>
          <w:position w:val="0"/>
          <w:shd w:val="clear" w:color="auto" w:fill="auto"/>
          <w:lang w:val="ru-RU" w:eastAsia="ru-RU" w:bidi="ru-RU"/>
        </w:rPr>
        <w:t>«О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7"/>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аукцион.</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силу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Ч.1 ст.33 Закона о контрактной системе установлено, что Заказчик при описании в документации о закупке объекта закупки должен руководствоваться следующими правилами:</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w:t>
      </w:r>
      <w:r>
        <w:rPr>
          <w:color w:val="000000"/>
          <w:spacing w:val="0"/>
          <w:w w:val="100"/>
          <w:position w:val="0"/>
          <w:shd w:val="clear" w:color="auto" w:fill="auto"/>
          <w:lang w:val="ru-RU" w:eastAsia="ru-RU" w:bidi="ru-RU"/>
        </w:rPr>
        <w:t>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Согласно ч.2 ст.33 Закона о контрактной системе описание объекта закупки в соответствии с требованиями, указанными в ч. 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7"/>
        <w:keepNext w:val="0"/>
        <w:keepLines w:val="0"/>
        <w:widowControl w:val="0"/>
        <w:numPr>
          <w:ilvl w:val="0"/>
          <w:numId w:val="1"/>
        </w:numPr>
        <w:shd w:val="clear" w:color="auto" w:fill="auto"/>
        <w:tabs>
          <w:tab w:pos="1128" w:val="left"/>
        </w:tabs>
        <w:bidi w:val="0"/>
        <w:spacing w:before="0" w:after="0" w:line="240" w:lineRule="auto"/>
        <w:ind w:left="0" w:right="0" w:firstLine="660"/>
        <w:jc w:val="both"/>
      </w:pPr>
      <w:r>
        <w:rPr>
          <w:color w:val="000000"/>
          <w:spacing w:val="0"/>
          <w:w w:val="100"/>
          <w:position w:val="0"/>
          <w:shd w:val="clear" w:color="auto" w:fill="auto"/>
          <w:lang w:val="ru-RU" w:eastAsia="ru-RU" w:bidi="ru-RU"/>
        </w:rPr>
        <w:t>Согласно доводам жалобы п.3.1 проекта государственного контракта и пп.7 п. 14 информационной карты содержится указание на Приложении № 3 к Контракту содержащее требования к товарам «источник бесперебойного питания тип 1», «источник бесперебойного питания тип 2», «блок питания», «источник питания», «оповещатель», «бокс», вместе с тем данное приложение не указано в составе Извещения и размещение подобного файла неправомерно.</w:t>
      </w:r>
    </w:p>
    <w:p>
      <w:pPr>
        <w:pStyle w:val="Style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В составе извещения об осуществлении закупки размещен файл с названием «Обоснование характеристик», однако на первой странице указано Приложение №3 к Контракту. Кроме того, в вышеуказанном документе размещено указание на товары «источник бесперебойного питания тип 1», «источник бесперебойного питания тип 2», «блок питания», «источник питания», «оповещатель», «бокс», при этом характеристики, предусмотренные в вышеуказанном файле отсутствуют в Техническом задании, которое в силу положений ст.33 Закона о контрактной системе является описанием объекта закупки, ввиду чего в обязательном порядке должно содержать указание как на поставляемые товары, так и на их характеристики.</w:t>
      </w:r>
    </w:p>
    <w:p>
      <w:pPr>
        <w:pStyle w:val="Style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В случае включения в описательную часть требуемых к поставке товаров дополнительных характеристик, не содержащихся в выбранной позиции КТРУ, Заказчику надлежит файл «Обоснование характеристик» дополнить письменным обоснованием целесообразности включения данных требований.</w:t>
      </w:r>
    </w:p>
    <w:p>
      <w:pPr>
        <w:pStyle w:val="Style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Таким образом, очевидно, включенный в состав документов процедуры файл «Обоснование характеристик» служит для включения письменного обоснования использования дополнительных характеристик, включенных в описание объекта закупки, но не для конкретизации перечня поставляемых товаров и отражения их характеристик.</w:t>
      </w:r>
    </w:p>
    <w:p>
      <w:pPr>
        <w:pStyle w:val="Style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Таким образом, Комиссия Управления приходит к выводу о нарушении Заказчиком положений п.1 ч.2 ст.42, п.1, ч.1 ч.2 ст.33 Закона о контрактной системе при установлении дополнительных требований к товарам, что повлекло за собой ограничение количества участников закупки и содержит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w:t>
      </w:r>
    </w:p>
    <w:p>
      <w:pPr>
        <w:pStyle w:val="Style7"/>
        <w:keepNext w:val="0"/>
        <w:keepLines w:val="0"/>
        <w:widowControl w:val="0"/>
        <w:numPr>
          <w:ilvl w:val="0"/>
          <w:numId w:val="1"/>
        </w:numPr>
        <w:shd w:val="clear" w:color="auto" w:fill="auto"/>
        <w:tabs>
          <w:tab w:pos="1128" w:val="left"/>
        </w:tabs>
        <w:bidi w:val="0"/>
        <w:spacing w:before="0" w:after="0" w:line="240" w:lineRule="auto"/>
        <w:ind w:left="0" w:right="0" w:firstLine="660"/>
        <w:jc w:val="both"/>
      </w:pPr>
      <w:r>
        <w:rPr>
          <w:color w:val="000000"/>
          <w:spacing w:val="0"/>
          <w:w w:val="100"/>
          <w:position w:val="0"/>
          <w:shd w:val="clear" w:color="auto" w:fill="auto"/>
          <w:lang w:val="ru-RU" w:eastAsia="ru-RU" w:bidi="ru-RU"/>
        </w:rPr>
        <w:t xml:space="preserve">Кроме того, в составе жалобы Заявитель указывает на неправомерное включение в п.3.1 проекта государственного контракта, которым регламентированы сроки оказания услуг, требований, касающихся поставки-приемки товаров, </w:t>
      </w:r>
      <w:r>
        <w:rPr>
          <w:color w:val="000000"/>
          <w:spacing w:val="0"/>
          <w:w w:val="100"/>
          <w:position w:val="0"/>
          <w:shd w:val="clear" w:color="auto" w:fill="auto"/>
          <w:lang w:val="ru-RU" w:eastAsia="ru-RU" w:bidi="ru-RU"/>
        </w:rPr>
        <w:t>гарантии, не имеющие отношения к разделу контракта, регламентирующему сроки оказания услуг.</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Комиссией Управления установлено, что статей 3 проекта государственного контракта регламентированы сроки оказания услуг, а именно: «Сроки оказания услуг по Контракту установлены в соответствии с Техническим заданием: в течение 365 (трехсот шестидесяти пяти) календарных дней с даты заключения Контракта».</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Вместе с тем Заказчиком в указанную статью также включен порядок поставки товаров, а именно: «В течение 3 (трёх) календарных дней с даты начала исполнения контракта, Исполнитель по адресу 105275, г.Москва, улица 8-я Соколиной горы, дом 15, производит поставку товаров «источник бесперебойного питания тип 1», «источник бесперебойного питания тип 2», «блок питания», «источник питания», «оповещатель», «бокс», указанных в «Приложении № 3 к Контракту. Описание объекта закупки», в количестве согласно сметной документации. Поставляемые товары переходят на баланс Заказчика путём составления Документа о приемке, получает складской инвентарный номер в журнале учёта материальных ценностей. Результаты приёмки оформляются в день поставки Исполнителем товаров. Заказчик производит оплату поставляемых товаров в течение 7 (семи) рабочих дней с даты подписания Заказчиком Документа о приемке. Гарантия на поставляемые товары - в соответствии с гарантией производителя, но не менее 12 месяцев с момента оформления результатов приёмки».</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Таким образом, Комиссия Управления отмечает, что в нарушение положений действующего законодательства о контрактной системе порядок поставки товаров включен в стать 3 проекта государственного контракта, которой регламентирован исключительно срок оказания услуг, который может включать срок поставки товаров, однако именно статья 4 проекта государственного контракта относится к порядку сдачи-приемки оказанных услуг.</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Таким образом, Комиссия Управления приходит к выводу о нарушении Заказчиком положений п.1 ч.2 ст.42, п.1 ч.1 ст.33 Закона о контрактной системе при установлении дополнительных требований к товарам, что повлекло за собой ограничение количества участников закупки и содержит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w:t>
      </w:r>
    </w:p>
    <w:p>
      <w:pPr>
        <w:pStyle w:val="Style7"/>
        <w:keepNext w:val="0"/>
        <w:keepLines w:val="0"/>
        <w:widowControl w:val="0"/>
        <w:numPr>
          <w:ilvl w:val="0"/>
          <w:numId w:val="1"/>
        </w:numPr>
        <w:shd w:val="clear" w:color="auto" w:fill="auto"/>
        <w:tabs>
          <w:tab w:pos="1128" w:val="left"/>
        </w:tabs>
        <w:bidi w:val="0"/>
        <w:spacing w:before="0" w:after="0" w:line="240" w:lineRule="auto"/>
        <w:ind w:left="0" w:right="0" w:firstLine="640"/>
        <w:jc w:val="both"/>
      </w:pPr>
      <w:r>
        <w:rPr>
          <w:color w:val="000000"/>
          <w:spacing w:val="0"/>
          <w:w w:val="100"/>
          <w:position w:val="0"/>
          <w:shd w:val="clear" w:color="auto" w:fill="auto"/>
          <w:lang w:val="ru-RU" w:eastAsia="ru-RU" w:bidi="ru-RU"/>
        </w:rPr>
        <w:t xml:space="preserve">В составе жалобы Заявитель указывает, что Заказчиком установлены неправомерные требования к содержанию и составу заявки на участие в закупке, так как установлено требование о необходимости представления участником закупки непосредственно в составе заявки документов, подтверждающих соответствие участника закупки дополнительным требованиям к участникам закупочной процедуры, установленным в соответствии с Постановлением Правительства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w:t>
      </w:r>
      <w:r>
        <w:rPr>
          <w:color w:val="000000"/>
          <w:spacing w:val="0"/>
          <w:w w:val="100"/>
          <w:position w:val="0"/>
          <w:shd w:val="clear" w:color="auto" w:fill="auto"/>
          <w:lang w:val="ru-RU" w:eastAsia="ru-RU" w:bidi="ru-RU"/>
        </w:rPr>
        <w:t>Правительства Российской Федерации» (далее — Постановление №2571).</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В силу ч.2 ст.31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 опыта работы, связанного с предметом контракта, и деловой репутации.</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Согласно ч.3 ст.31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ч.2 и 2.1 ст.31 Закона о контрактной системе, устанавливается Правительством Российской Федерации.</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Согласно ч.4 ст.31 Закона о контрактной системе в случае установления Правительством Российской Федерации в соответствии с ч.2 ст.31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Вместе с этим пп.«а» п.1 Постановления №2571 установлено, что к участникам закупки отдельных видов товаров, работ, услуг, участникам отдельных видов закупок товаров, работ, услуг предъявляются дополнительные требования согласно Приложению. Соответствие участников закупки указанным дополнительным требованиям подтверждается информацией и документами, предусмотренными приложением к настоящему постановлению.</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Согласно абз.2,3 пп.«а» п.3 Постановления №2571 положения Постановления №2571 применяются при проведении конкурентных способов определения поставщиков (подрядчиков, исполнителей), при этом:</w:t>
      </w:r>
    </w:p>
    <w:p>
      <w:pPr>
        <w:pStyle w:val="Style7"/>
        <w:keepNext w:val="0"/>
        <w:keepLines w:val="0"/>
        <w:widowControl w:val="0"/>
        <w:numPr>
          <w:ilvl w:val="0"/>
          <w:numId w:val="3"/>
        </w:numPr>
        <w:shd w:val="clear" w:color="auto" w:fill="auto"/>
        <w:tabs>
          <w:tab w:pos="850" w:val="left"/>
        </w:tabs>
        <w:bidi w:val="0"/>
        <w:spacing w:before="0" w:after="0" w:line="240" w:lineRule="auto"/>
        <w:ind w:left="0" w:right="0" w:firstLine="640"/>
        <w:jc w:val="both"/>
      </w:pPr>
      <w:r>
        <w:rPr>
          <w:color w:val="000000"/>
          <w:spacing w:val="0"/>
          <w:w w:val="100"/>
          <w:position w:val="0"/>
          <w:shd w:val="clear" w:color="auto" w:fill="auto"/>
          <w:lang w:val="ru-RU" w:eastAsia="ru-RU" w:bidi="ru-RU"/>
        </w:rPr>
        <w:t>позиция Приложения к постановлению применяется с учетом положений п.3 Постановления №2571 в случае, если объект закупки включает один или несколько закупаемых товаров, работ, услуг, указанных в приложении в соответствующей позиции графы «Наименование отдельных видов товаров, работ, услуг, являющихся объектом закупки»;</w:t>
      </w:r>
    </w:p>
    <w:p>
      <w:pPr>
        <w:pStyle w:val="Style7"/>
        <w:keepNext w:val="0"/>
        <w:keepLines w:val="0"/>
        <w:widowControl w:val="0"/>
        <w:numPr>
          <w:ilvl w:val="0"/>
          <w:numId w:val="3"/>
        </w:numPr>
        <w:shd w:val="clear" w:color="auto" w:fill="auto"/>
        <w:tabs>
          <w:tab w:pos="846" w:val="left"/>
        </w:tabs>
        <w:bidi w:val="0"/>
        <w:spacing w:before="0" w:after="0" w:line="240" w:lineRule="auto"/>
        <w:ind w:left="0" w:right="0" w:firstLine="640"/>
        <w:jc w:val="both"/>
      </w:pPr>
      <w:r>
        <w:rPr>
          <w:color w:val="000000"/>
          <w:spacing w:val="0"/>
          <w:w w:val="100"/>
          <w:position w:val="0"/>
          <w:shd w:val="clear" w:color="auto" w:fill="auto"/>
          <w:lang w:val="ru-RU" w:eastAsia="ru-RU" w:bidi="ru-RU"/>
        </w:rPr>
        <w:t>позиции 14, 15 и 36 Приложения применяются в случае, если при осуществлении закупки начальная (максимальная) цена контракта превышает 1 млн. рублей.</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Согласно п.14 Приложения при проведении закупочной процедуры объектом которой являются работы, услуги по техническому обслуживанию зданий, сооружений, к участникам закупочной процедуры предъявляются дополнительные требования о наличии у участника закупки опыта исполнения договора, предусматривающего выполнение работ, оказание услуг по техническому обслуживанию зданий, сооружений. Цена выполненных работ, оказанных услуг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 xml:space="preserve">Согласно ч.2 ст.48 Закона о контрактной системе вторая часть должна содержать информацию и документы, предусмотренные подпунктами пп.«м» - «п» п.1, «в» п.2, п.5 ч.1 ст.43 Закона о контрактной системе. Согласно пп.«н» п.1 ч.1 </w:t>
      </w:r>
      <w:r>
        <w:rPr>
          <w:color w:val="000000"/>
          <w:spacing w:val="0"/>
          <w:w w:val="100"/>
          <w:position w:val="0"/>
          <w:shd w:val="clear" w:color="auto" w:fill="auto"/>
          <w:lang w:val="ru-RU" w:eastAsia="ru-RU" w:bidi="ru-RU"/>
        </w:rPr>
        <w:t>ст.43 Закона о контрактной системе документы, подтверждающие соответствие участника закупки требованиям, установленным п.1 ч.1 ст.31 Закона о контрактной системе, документы, подтверждающие соответствие участника закупки дополнительным требованиям, установленным в соответствии с ч.2 и 2.1 (при наличии таких требований) ст.31 Закона о контрактной системе, если иное не предусмотрено Законом о контрактной системе.</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Согласно п.3 ч.6 ст.43 Закона о контрактной системе при проведении электронных процедур документы, подтверждающие соответствие участника закупки дополнительным требованиям, установленным в соответствии с ч.2 или 2.1 (при наличии таких требований) ст.31 Закона о контрактной системе, и предусмотренные пп.«н» п.1 ч.1 ст.31 Закона о контрактной системе, не включаются участником закупки в заявку на участие в закупке. Такие документы в случаях, предусмотренных Законом о контрактной системе,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 Согласно ч.3 ст.43 Закона о контрактной системе требовать от участника закупки представления иных информации и документов, за исключением предусмотренных ч.1 и 2 ст.43 Закона о контрактной системе, не допускается.</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 xml:space="preserve">В составе пп.2 п. 14 Информационной карты Заказчиком размещены Требования к содержанию, составу заявки на участие в закупке: «Информация и документы, подтверждающие соответствие участников закупки дополнительным требованиям, в соответствии с частью 2 статьи 31 Федерального закона № 44-ФЗ, в соответствии с позицией 14 приложения к Постановлению Правительства РФ от 29 декабря 2021 г. К 2571. п. 14 Услуги по техническому обслуживанию зданий, сооружений: 1) исполненный договор; 2) акт приемки оказанных услуг, подтверждающий цену оказанных услуг. Документы, подтверждающие соответствие участника закупки дополнительным требованиям, установленным в соответствии с частью статьи 31 Федерального закона К 44-ФЗ, и предусмотренные подпунктом "н" пункта 1 части 1 статьи 43, </w:t>
      </w:r>
      <w:r>
        <w:rPr>
          <w:b/>
          <w:bCs/>
          <w:color w:val="000000"/>
          <w:spacing w:val="0"/>
          <w:w w:val="100"/>
          <w:position w:val="0"/>
          <w:shd w:val="clear" w:color="auto" w:fill="auto"/>
          <w:lang w:val="ru-RU" w:eastAsia="ru-RU" w:bidi="ru-RU"/>
        </w:rPr>
        <w:t>не включаются участником закупки в заявку на участие в закупке</w:t>
      </w:r>
      <w:r>
        <w:rPr>
          <w:color w:val="000000"/>
          <w:spacing w:val="0"/>
          <w:w w:val="100"/>
          <w:position w:val="0"/>
          <w:shd w:val="clear" w:color="auto" w:fill="auto"/>
          <w:lang w:val="ru-RU" w:eastAsia="ru-RU" w:bidi="ru-RU"/>
        </w:rPr>
        <w:t>. Такие документы в случаях, предусмотренных Федеральным законом №44-ФЗ,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спорное требование установлено в соответствии с Законом о контрактной системе и данное положение не требует прикладывать соответствующие сведения в составе заявки, так как имеется указание «Не включаются участником закупки в заявку на участие в закупке. Такие документы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 xml:space="preserve">Комиссия Управления отмечает, что ч.2 ст.48 Закона о контрактной системе предусмотрено, что заявка на участие в закупке должна содержать документы, предусмотренные пп.«н» п.1 ч.1 ст.43 Закона о контрактной системе, однако, в силу </w:t>
      </w:r>
      <w:r>
        <w:rPr>
          <w:color w:val="000000"/>
          <w:spacing w:val="0"/>
          <w:w w:val="100"/>
          <w:position w:val="0"/>
          <w:shd w:val="clear" w:color="auto" w:fill="auto"/>
          <w:lang w:val="ru-RU" w:eastAsia="ru-RU" w:bidi="ru-RU"/>
        </w:rPr>
        <w:t>п.3 ч.6 ст.43 Закона о контрактной системе, такие документы направляются Заказчику оператором электронной площадки, а не прикладываются участником в составе заявки на участие в закупке.</w:t>
      </w:r>
    </w:p>
    <w:p>
      <w:pPr>
        <w:pStyle w:val="Style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Вместе с этим спорное требование, указанное Заказчиком в положении, предъявляющем требования к составу заявки на участие в закупке, содержит однозначное указание, свидетельствующие об отсутствии необходимости участникам закупочной процедуры самостоятельно представлять документы, предусмотренные пп.«н» п.1 ч.1 ст.43 Закона о контрактной системе, в составе заявки на участие в закупке. 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7"/>
        <w:keepNext w:val="0"/>
        <w:keepLines w:val="0"/>
        <w:widowControl w:val="0"/>
        <w:numPr>
          <w:ilvl w:val="0"/>
          <w:numId w:val="1"/>
        </w:numPr>
        <w:shd w:val="clear" w:color="auto" w:fill="auto"/>
        <w:tabs>
          <w:tab w:pos="1128" w:val="left"/>
        </w:tabs>
        <w:bidi w:val="0"/>
        <w:spacing w:before="0" w:after="0" w:line="240" w:lineRule="auto"/>
        <w:ind w:left="0" w:right="0" w:firstLine="660"/>
        <w:jc w:val="both"/>
      </w:pPr>
      <w:r>
        <w:rPr>
          <w:color w:val="000000"/>
          <w:spacing w:val="0"/>
          <w:w w:val="100"/>
          <w:position w:val="0"/>
          <w:shd w:val="clear" w:color="auto" w:fill="auto"/>
          <w:lang w:val="ru-RU" w:eastAsia="ru-RU" w:bidi="ru-RU"/>
        </w:rPr>
        <w:t>Согласно доводам жалобы Заказчиком установлены противоречивые сроки относительно гарантийных обязательств. Так согласно п. 3.1 проекта государственного контракта результаты приёмки оформляются в день поставки Исполнителем товаров. Гарантия на поставляемые товары - в соответствии с гарантией производителя, но не менее 12 месяцев с момента оформления результатов приёмки.</w:t>
      </w:r>
    </w:p>
    <w:p>
      <w:pPr>
        <w:pStyle w:val="Style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При этом согласно п.4.1 Технического задания «Гарантия качества услуг предоставляется Исполнителем в течение срока оказания услуг в соответствии с условиями Контракта в полном объеме в соответствии с требованиями настоящего Технического задания. На материальный результат оказания услуг устанавливается гарантийный срок продолжительностью 1 (один) год с момента передачи результата услуг Заказчику».</w:t>
      </w:r>
    </w:p>
    <w:p>
      <w:pPr>
        <w:pStyle w:val="Style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Таким образом по мнению Заявителя установленные Заказчиком положения вводят участников закупки в заблуждение.</w:t>
      </w:r>
    </w:p>
    <w:p>
      <w:pPr>
        <w:pStyle w:val="Style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на поставляемый товар гарантия начинается с момента приемки, поскольку товар ставится на баланс. А на материальный результат оказания услуг, то есть на смонтированный в систему прибор, гарантийные обязательства начинаются после передачи результата услуг.</w:t>
      </w:r>
    </w:p>
    <w:p>
      <w:pPr>
        <w:pStyle w:val="Style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Таким образом, Извещение о проведении закупки не содержит противоречия и установлено в соответствии с Законом о контрактной системе.</w:t>
      </w:r>
    </w:p>
    <w:p>
      <w:pPr>
        <w:pStyle w:val="Style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На основании вышеизложенного, с учетом представленных документов и сведений, пояснений представителей Заказчика Комиссия Управления приходит к выводу о необоснованности данного довода жалобы.</w:t>
      </w:r>
    </w:p>
    <w:p>
      <w:pPr>
        <w:pStyle w:val="Style7"/>
        <w:keepNext w:val="0"/>
        <w:keepLines w:val="0"/>
        <w:widowControl w:val="0"/>
        <w:numPr>
          <w:ilvl w:val="0"/>
          <w:numId w:val="1"/>
        </w:numPr>
        <w:shd w:val="clear" w:color="auto" w:fill="auto"/>
        <w:tabs>
          <w:tab w:pos="1128" w:val="left"/>
        </w:tabs>
        <w:bidi w:val="0"/>
        <w:spacing w:before="0" w:after="0" w:line="240" w:lineRule="auto"/>
        <w:ind w:left="0" w:right="0" w:firstLine="660"/>
        <w:jc w:val="both"/>
      </w:pPr>
      <w:r>
        <w:rPr>
          <w:color w:val="000000"/>
          <w:spacing w:val="0"/>
          <w:w w:val="100"/>
          <w:position w:val="0"/>
          <w:shd w:val="clear" w:color="auto" w:fill="auto"/>
          <w:lang w:val="ru-RU" w:eastAsia="ru-RU" w:bidi="ru-RU"/>
        </w:rPr>
        <w:t xml:space="preserve">Согласно доводам жалобы Заказчиком установлены ограничения в соответствии с постановлением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при этом Заказчиком установлено требованиям к товарам </w:t>
      </w:r>
      <w:r>
        <w:rPr>
          <w:color w:val="000000"/>
          <w:spacing w:val="0"/>
          <w:w w:val="100"/>
          <w:position w:val="0"/>
          <w:shd w:val="clear" w:color="auto" w:fill="auto"/>
          <w:lang w:val="ru-RU" w:eastAsia="ru-RU" w:bidi="ru-RU"/>
        </w:rPr>
        <w:t>по п.2 «Оповещатель» и п.5 «Бокс». Вместе с тем Заявитель указывает, что в реестре российской радиоэлектронной продукции отсутствует продукция соответствующая установленным Заказчиком характеристикам.</w:t>
      </w:r>
    </w:p>
    <w:p>
      <w:pPr>
        <w:pStyle w:val="Style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Комиссией Управления установлено, что Заказчиком установлены следующие требования к товарам:</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п.2 «Оповещатель»:</w:t>
      </w:r>
    </w:p>
    <w:p>
      <w:pPr>
        <w:pStyle w:val="Style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«Степень защиты от проникновения твердых предметов и воздействия воды 1Р40 или 1Р41 или 1Р43</w:t>
      </w:r>
    </w:p>
    <w:p>
      <w:pPr>
        <w:pStyle w:val="Style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Габаритные размеры: ширина &lt; 385 Миллиметр</w:t>
      </w:r>
    </w:p>
    <w:p>
      <w:pPr>
        <w:pStyle w:val="Style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Минимальная температура окружающей среды: &lt; - 20 Градус Цельсия</w:t>
      </w:r>
    </w:p>
    <w:p>
      <w:pPr>
        <w:pStyle w:val="Style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Габаритные размеры: высота от 120 до 128 Миллиметр</w:t>
      </w:r>
    </w:p>
    <w:p>
      <w:pPr>
        <w:pStyle w:val="Style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Масса: &lt; 0.58 Килограмм</w:t>
      </w:r>
    </w:p>
    <w:p>
      <w:pPr>
        <w:pStyle w:val="Style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Габаритные размеры: глубина &lt; 80 Миллиметр</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Максимальная температура окружающей среды: &gt; + 40 Градус Цельсия</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Ток потребления при напряжении 12 В: &lt; 48»;</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п.5 «Бокс»:</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«Высота, и: &lt; 10 и</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Максимальная распределенная нагрузка: &lt; 100 Килограмм</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Полезная глубина: &lt; 600 Миллиметр</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Ширина: &gt; 500 и &lt; 1000 Миллиметр</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Тип конструкции: разборный</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Тип размещения: Настенный».</w:t>
      </w:r>
    </w:p>
    <w:p>
      <w:pPr>
        <w:pStyle w:val="Style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товар по п.2 относится к коду ОКПД2: 26.30.50.114 - «Приборы управления, приемно-контрольные и оповещатели охранные и охранно-пожарные» товар по п.5 относится к коду ОКПД2: 26.30.30 - «Части и комплектующие коммуникационного оборудования». Данные коды включены в Перечень радиоэлектронной продукции, в связи с чем Заказчиком в составе извещения установлены соответствующие ограничения. Вместе с тем Заказчиком установлены параметры эквивалентности товаров позволяющие подобрать товар соответствующий установленным требованиям и не входящий в реестр радиоэлектронной продукции, что в свою очередь не является нарушением требований постановления.</w:t>
      </w:r>
    </w:p>
    <w:p>
      <w:pPr>
        <w:pStyle w:val="Style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Согласно ч. 4 ст. 106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Вместе с тем в заседании Комиссии Управления Заявитель участия не принимал, кроме того в составе жалобы Заявителем не представлено документов, подтверждающих обоснованность довода жалобы.</w:t>
      </w:r>
    </w:p>
    <w:p>
      <w:pPr>
        <w:pStyle w:val="Style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7"/>
        <w:keepNext w:val="0"/>
        <w:keepLines w:val="0"/>
        <w:widowControl w:val="0"/>
        <w:numPr>
          <w:ilvl w:val="0"/>
          <w:numId w:val="1"/>
        </w:numPr>
        <w:shd w:val="clear" w:color="auto" w:fill="auto"/>
        <w:tabs>
          <w:tab w:pos="1128" w:val="left"/>
        </w:tabs>
        <w:bidi w:val="0"/>
        <w:spacing w:before="0" w:after="0" w:line="240" w:lineRule="auto"/>
        <w:ind w:left="0" w:right="0" w:firstLine="660"/>
        <w:jc w:val="both"/>
      </w:pPr>
      <w:r>
        <w:rPr>
          <w:color w:val="000000"/>
          <w:spacing w:val="0"/>
          <w:w w:val="100"/>
          <w:position w:val="0"/>
          <w:shd w:val="clear" w:color="auto" w:fill="auto"/>
          <w:lang w:val="ru-RU" w:eastAsia="ru-RU" w:bidi="ru-RU"/>
        </w:rPr>
        <w:t xml:space="preserve">Согласно доводам жалобы неправомерно установлены требования о предоставлении характеристик предлагаемых участником закупки товаров, информации о стране происхождения и номеров реестровых записей из реестра, </w:t>
      </w:r>
      <w:r>
        <w:rPr>
          <w:color w:val="000000"/>
          <w:spacing w:val="0"/>
          <w:w w:val="100"/>
          <w:position w:val="0"/>
          <w:shd w:val="clear" w:color="auto" w:fill="auto"/>
          <w:lang w:val="ru-RU" w:eastAsia="ru-RU" w:bidi="ru-RU"/>
        </w:rPr>
        <w:t>поскольку отсутствует информация в отношении, каких именно товаров необходимо представить такую информацию.</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согласно пп.7 п.14 Информационной карты участники закупки обязаны представлять сведения о товарах, указанных в форме «Сведения о качестве, технических характеристиках товара, его безопасности, функциональных характеристиках (потребительских свойствах) товара, размере, упаковке, отгрузке товара и иные сведения о товаре, представление которых предусмотрено документацией в электронной форме» размещена в составе Приложения № 3 к Контракту. Данное приложение размещено в составе документов извещения в файле «Обоснование характеристик».</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Согласно ч. 4 ст. 106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Вместе с тем в заседании Комиссии Управления Заявитель участия не принимал, кроме того в составе жалобы Заявителем не представлено документов, подтверждающих обоснованность довода жалобы.</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7"/>
        <w:keepNext w:val="0"/>
        <w:keepLines w:val="0"/>
        <w:widowControl w:val="0"/>
        <w:numPr>
          <w:ilvl w:val="0"/>
          <w:numId w:val="1"/>
        </w:numPr>
        <w:shd w:val="clear" w:color="auto" w:fill="auto"/>
        <w:tabs>
          <w:tab w:pos="1128" w:val="left"/>
        </w:tabs>
        <w:bidi w:val="0"/>
        <w:spacing w:before="0" w:after="0" w:line="240" w:lineRule="auto"/>
        <w:ind w:left="0" w:right="0" w:firstLine="640"/>
        <w:jc w:val="both"/>
      </w:pPr>
      <w:r>
        <w:rPr>
          <w:color w:val="000000"/>
          <w:spacing w:val="0"/>
          <w:w w:val="100"/>
          <w:position w:val="0"/>
          <w:shd w:val="clear" w:color="auto" w:fill="auto"/>
          <w:lang w:val="ru-RU" w:eastAsia="ru-RU" w:bidi="ru-RU"/>
        </w:rPr>
        <w:t>Согласно доводам жалобы Заказчиком неправомерно не применены положения постановления Правительства Российской Федерации от 08.02.2017 № 145, которым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КТРУ) и Правила использования каталога товаров, работ, услуг для обеспечения государственных и муниципальных нужд (далее — Правила использования КТРУ), в части описания объекта закупки.</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Согласно п.15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 14 Закона о контрактной системе.</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 xml:space="preserve">Согласно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w:t>
      </w:r>
      <w:r>
        <w:rPr>
          <w:color w:val="000000"/>
          <w:spacing w:val="0"/>
          <w:w w:val="100"/>
          <w:position w:val="0"/>
          <w:shd w:val="clear" w:color="auto" w:fill="auto"/>
          <w:lang w:val="ru-RU" w:eastAsia="ru-RU" w:bidi="ru-RU"/>
        </w:rPr>
        <w:t>использования указанного каталога устанавливаются Правительством Российской Федерации.</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Согласно пп. «б» п.2 Правил использования КТРУ каталог используется заказчиками в целях описания объектов закупки, которое включается в план-график закупок, извещение об осуществлении закупки, приглашение и документацию о закупке.</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На основании п.4 Правил использования КТРУ Заказчики обязаны применять информацию, включенную в позицию каталога в соответствии с подпунктами «б» - «и» п.10 Правил формирования КТРУ</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В соответствии с пп. «г» п.10 Правил формирования КТРУ в позицию каталога включается информация, содержащая описание товара, работы, услуги, если такое описание сформировано в соответствии с п.13 Правил формирования КТРУ.</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В силу п.5 Правил использования КТРУ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которые не предусмотрены в позиции каталога, за исключением случаев:</w:t>
      </w:r>
    </w:p>
    <w:p>
      <w:pPr>
        <w:pStyle w:val="Style7"/>
        <w:keepNext w:val="0"/>
        <w:keepLines w:val="0"/>
        <w:widowControl w:val="0"/>
        <w:numPr>
          <w:ilvl w:val="0"/>
          <w:numId w:val="5"/>
        </w:numPr>
        <w:shd w:val="clear" w:color="auto" w:fill="auto"/>
        <w:tabs>
          <w:tab w:pos="1085" w:val="left"/>
        </w:tabs>
        <w:bidi w:val="0"/>
        <w:spacing w:before="0" w:after="0" w:line="240" w:lineRule="auto"/>
        <w:ind w:left="0" w:right="0" w:firstLine="640"/>
        <w:jc w:val="both"/>
      </w:pPr>
      <w:r>
        <w:rPr>
          <w:color w:val="000000"/>
          <w:spacing w:val="0"/>
          <w:w w:val="100"/>
          <w:position w:val="0"/>
          <w:shd w:val="clear" w:color="auto" w:fill="auto"/>
          <w:lang w:val="ru-RU" w:eastAsia="ru-RU" w:bidi="ru-RU"/>
        </w:rPr>
        <w:t xml:space="preserve">осуществления закупки радиоэлектронной продукции, включенной в пункты 25(1) - 25(7)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w:t>
      </w:r>
      <w:r>
        <w:rPr>
          <w:color w:val="000000"/>
          <w:spacing w:val="0"/>
          <w:w w:val="100"/>
          <w:position w:val="0"/>
          <w:shd w:val="clear" w:color="auto" w:fill="auto"/>
          <w:lang w:val="ru-RU" w:eastAsia="ru-RU" w:bidi="ru-RU"/>
        </w:rPr>
        <w:t>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pPr>
        <w:pStyle w:val="Style7"/>
        <w:keepNext w:val="0"/>
        <w:keepLines w:val="0"/>
        <w:widowControl w:val="0"/>
        <w:numPr>
          <w:ilvl w:val="0"/>
          <w:numId w:val="5"/>
        </w:numPr>
        <w:shd w:val="clear" w:color="auto" w:fill="auto"/>
        <w:tabs>
          <w:tab w:pos="1085" w:val="left"/>
        </w:tabs>
        <w:bidi w:val="0"/>
        <w:spacing w:before="0" w:after="0" w:line="240" w:lineRule="auto"/>
        <w:ind w:left="0" w:right="0" w:firstLine="640"/>
        <w:jc w:val="both"/>
      </w:pPr>
      <w:r>
        <w:rPr>
          <w:color w:val="000000"/>
          <w:spacing w:val="0"/>
          <w:w w:val="100"/>
          <w:position w:val="0"/>
          <w:shd w:val="clear" w:color="auto" w:fill="auto"/>
          <w:lang w:val="ru-RU" w:eastAsia="ru-RU" w:bidi="ru-RU"/>
        </w:rPr>
        <w:t>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Закона о контрактной системе.</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Заявитель указывает, что Заказчиком, например закупает п. 1 «Источник питания» который относится к позиции КТРУ 26.20.40.110-00000001 «Источник бесперебойного питания», вместе с тем заказчиком установлены дополнительные требования, например «Переменный ток потребления от 0.15 А: Высота от 28 до 40»; «Время включения от 1 до 5 секунд», которые отсутствуют в КТРУ</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При этом в извещении о проведении аукциона Заказчиком установлены ограничения допуска отдельных видов радиоэлектронной продукции, происходящих из иностранных государств в соответствии с постановлением Правительства Российской Федерации от 10 июля 2019 г. № 878.</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Таким образом, в случае установления в извещении ограничения допуска отдельных видов радиоэлектронной продукции, происходящих из иностранных государств в соответствии с постановлением Правительства Российской Федерации от 10 июля 2019 г. № 878, у Заказчика отсутствует возможность указания дополнительных характеристик, не предусмотренных соответствующей позицией КТРУ.</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товар «Источник питания» относится к коду ОКПД 2: 27.40.42 - «Части светильников и осветительных устройств», при этом в каталоге товаров, работ и услуг нет соответствующей позиции, по которой можно было бы установить требования к поставляемому товару.</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Вместе с тем каких-либо подтверждений несоответствия вышеуказанной позиции КТРУ (26.20.40.110-00000001) закупаемому товару Заказчиком не представлено.</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о нарушении Заказчиком п.1 ч.1 ст.33, ч.6 ст.23 Закона о контрактной системе, что содержит признаки состава административного правонарушения, ответственность за которое предусмотрена ч.1.4 ст.7.30 Кодекса административных правонарушений.</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8. Согласно доводам жалобы Заказчиком по п.3 «Источник бесперебойного питания тип 1» установлено требование к конкретному товарному знаку ГРРОК, что нарушает положения Закона о контрактной системе.</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согласно инструкции «При указании в документации о закупке товарных знаков товаров считать описание объекта с применением слов «или эквивалент».</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Комиссия Управления отмечает, что согласно п.1 ч.1 ст. 33 Закона о контрактной системе допускается использование в описании объекта закупки указания на товарный знак при условии сопровождения такого указания словами</w:t>
      </w:r>
    </w:p>
    <w:p>
      <w:pPr>
        <w:pStyle w:val="Style7"/>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«или эквивалент».</w:t>
      </w:r>
    </w:p>
    <w:p>
      <w:pPr>
        <w:pStyle w:val="Style7"/>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Согласно ч. 4 ст. 106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7"/>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Вместе с тем в заседании Комиссии Управления Заявитель участия не принимал, кроме того в составе жалобы Заявителем не представлено документов, подтверждающих обоснованность довода жалобы.</w:t>
      </w:r>
    </w:p>
    <w:p>
      <w:pPr>
        <w:pStyle w:val="Style7"/>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7"/>
        <w:keepNext w:val="0"/>
        <w:keepLines w:val="0"/>
        <w:widowControl w:val="0"/>
        <w:shd w:val="clear" w:color="auto" w:fill="auto"/>
        <w:bidi w:val="0"/>
        <w:spacing w:before="0" w:after="220" w:line="240" w:lineRule="auto"/>
        <w:ind w:left="0" w:right="0" w:firstLine="68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7"/>
        <w:keepNext w:val="0"/>
        <w:keepLines w:val="0"/>
        <w:widowControl w:val="0"/>
        <w:shd w:val="clear" w:color="auto" w:fill="auto"/>
        <w:bidi w:val="0"/>
        <w:spacing w:before="0" w:after="22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7"/>
        <w:keepNext w:val="0"/>
        <w:keepLines w:val="0"/>
        <w:widowControl w:val="0"/>
        <w:numPr>
          <w:ilvl w:val="0"/>
          <w:numId w:val="7"/>
        </w:numPr>
        <w:shd w:val="clear" w:color="auto" w:fill="auto"/>
        <w:tabs>
          <w:tab w:pos="1064" w:val="left"/>
        </w:tabs>
        <w:bidi w:val="0"/>
        <w:spacing w:before="0" w:after="0" w:line="228" w:lineRule="auto"/>
        <w:ind w:left="0" w:right="0" w:firstLine="680"/>
        <w:jc w:val="both"/>
      </w:pPr>
      <w:r>
        <w:rPr>
          <w:color w:val="000000"/>
          <w:spacing w:val="0"/>
          <w:w w:val="100"/>
          <w:position w:val="0"/>
          <w:shd w:val="clear" w:color="auto" w:fill="auto"/>
          <w:lang w:val="ru-RU" w:eastAsia="ru-RU" w:bidi="ru-RU"/>
        </w:rPr>
        <w:t>Признать жалобу ООО «Ремстрой» на действия ГБУЗ ИКБ № 2 ДЗМ обоснованной в части установления неправомерных требований к товарам, а также нарушений при формировании извещения о проведении закупки.</w:t>
      </w:r>
    </w:p>
    <w:p>
      <w:pPr>
        <w:pStyle w:val="Style7"/>
        <w:keepNext w:val="0"/>
        <w:keepLines w:val="0"/>
        <w:widowControl w:val="0"/>
        <w:numPr>
          <w:ilvl w:val="0"/>
          <w:numId w:val="7"/>
        </w:numPr>
        <w:shd w:val="clear" w:color="auto" w:fill="auto"/>
        <w:tabs>
          <w:tab w:pos="1059" w:val="left"/>
        </w:tabs>
        <w:bidi w:val="0"/>
        <w:spacing w:before="0" w:after="0" w:line="228" w:lineRule="auto"/>
        <w:ind w:left="0" w:right="0" w:firstLine="680"/>
        <w:jc w:val="both"/>
      </w:pPr>
      <w:r>
        <w:rPr>
          <w:color w:val="000000"/>
          <w:spacing w:val="0"/>
          <w:w w:val="100"/>
          <w:position w:val="0"/>
          <w:shd w:val="clear" w:color="auto" w:fill="auto"/>
          <w:lang w:val="ru-RU" w:eastAsia="ru-RU" w:bidi="ru-RU"/>
        </w:rPr>
        <w:t>Признать в действиях Заказчика нарушение ч.6 ст.23, п.1 ч.1, ч.2 ст.33, п.1 ч.2 ст.42 Закона о контрактной системе.</w:t>
      </w:r>
    </w:p>
    <w:p>
      <w:pPr>
        <w:pStyle w:val="Style7"/>
        <w:keepNext w:val="0"/>
        <w:keepLines w:val="0"/>
        <w:widowControl w:val="0"/>
        <w:numPr>
          <w:ilvl w:val="0"/>
          <w:numId w:val="7"/>
        </w:numPr>
        <w:shd w:val="clear" w:color="auto" w:fill="auto"/>
        <w:tabs>
          <w:tab w:pos="1059" w:val="left"/>
        </w:tabs>
        <w:bidi w:val="0"/>
        <w:spacing w:before="0" w:after="0" w:line="228" w:lineRule="auto"/>
        <w:ind w:left="0" w:right="0" w:firstLine="680"/>
        <w:jc w:val="both"/>
      </w:pPr>
      <w:r>
        <w:rPr>
          <w:color w:val="000000"/>
          <w:spacing w:val="0"/>
          <w:w w:val="100"/>
          <w:position w:val="0"/>
          <w:shd w:val="clear" w:color="auto" w:fill="auto"/>
          <w:lang w:val="ru-RU" w:eastAsia="ru-RU" w:bidi="ru-RU"/>
        </w:rPr>
        <w:t>Выдать Заказчику обязательное для исполнения предписание об устранении нарушений законодательства о контрактной системе.</w:t>
      </w:r>
    </w:p>
    <w:p>
      <w:pPr>
        <w:pStyle w:val="Style7"/>
        <w:keepNext w:val="0"/>
        <w:keepLines w:val="0"/>
        <w:widowControl w:val="0"/>
        <w:numPr>
          <w:ilvl w:val="0"/>
          <w:numId w:val="7"/>
        </w:numPr>
        <w:shd w:val="clear" w:color="auto" w:fill="auto"/>
        <w:tabs>
          <w:tab w:pos="1069" w:val="left"/>
        </w:tabs>
        <w:bidi w:val="0"/>
        <w:spacing w:before="0" w:after="220" w:line="228" w:lineRule="auto"/>
        <w:ind w:left="0" w:right="0" w:firstLine="680"/>
        <w:jc w:val="both"/>
      </w:pPr>
      <w:r>
        <w:rPr>
          <w:color w:val="000000"/>
          <w:spacing w:val="0"/>
          <w:w w:val="100"/>
          <w:position w:val="0"/>
          <w:shd w:val="clear" w:color="auto" w:fill="auto"/>
          <w:lang w:val="ru-RU" w:eastAsia="ru-RU" w:bidi="ru-RU"/>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7"/>
        <w:keepNext w:val="0"/>
        <w:keepLines w:val="0"/>
        <w:widowControl w:val="0"/>
        <w:shd w:val="clear" w:color="auto" w:fill="auto"/>
        <w:bidi w:val="0"/>
        <w:spacing w:before="0" w:after="220" w:line="228" w:lineRule="auto"/>
        <w:ind w:left="0" w:right="0" w:firstLine="68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7"/>
        <w:keepNext w:val="0"/>
        <w:keepLines w:val="0"/>
        <w:widowControl w:val="0"/>
        <w:shd w:val="clear" w:color="auto" w:fill="auto"/>
        <w:tabs>
          <w:tab w:pos="8491" w:val="left"/>
        </w:tabs>
        <w:bidi w:val="0"/>
        <w:spacing w:before="0" w:after="280" w:line="228" w:lineRule="auto"/>
        <w:ind w:left="0" w:right="0" w:firstLine="0"/>
        <w:jc w:val="both"/>
      </w:pPr>
      <w:r>
        <w:rPr>
          <w:color w:val="000000"/>
          <w:spacing w:val="0"/>
          <w:w w:val="100"/>
          <w:position w:val="0"/>
          <w:shd w:val="clear" w:color="auto" w:fill="auto"/>
          <w:lang w:val="ru-RU" w:eastAsia="ru-RU" w:bidi="ru-RU"/>
        </w:rPr>
        <w:t>Председательствующий</w:t>
        <w:tab/>
        <w:t>С.И. Казарин</w:t>
      </w:r>
    </w:p>
    <w:p>
      <w:pPr>
        <w:pStyle w:val="Style7"/>
        <w:keepNext w:val="0"/>
        <w:keepLines w:val="0"/>
        <w:widowControl w:val="0"/>
        <w:shd w:val="clear" w:color="auto" w:fill="auto"/>
        <w:tabs>
          <w:tab w:pos="8074" w:val="left"/>
        </w:tabs>
        <w:bidi w:val="0"/>
        <w:spacing w:before="0" w:after="280" w:line="228" w:lineRule="auto"/>
        <w:ind w:left="0" w:right="0" w:firstLine="0"/>
        <w:jc w:val="both"/>
      </w:pPr>
      <w:r>
        <w:rPr>
          <w:color w:val="000000"/>
          <w:spacing w:val="0"/>
          <w:w w:val="100"/>
          <w:position w:val="0"/>
          <w:shd w:val="clear" w:color="auto" w:fill="auto"/>
          <w:lang w:val="ru-RU" w:eastAsia="ru-RU" w:bidi="ru-RU"/>
        </w:rPr>
        <w:t>Члены Комиссии</w:t>
        <w:tab/>
        <w:t>А.А. Кутейников</w:t>
      </w:r>
    </w:p>
    <w:p>
      <w:pPr>
        <w:pStyle w:val="Style7"/>
        <w:keepNext w:val="0"/>
        <w:keepLines w:val="0"/>
        <w:widowControl w:val="0"/>
        <w:shd w:val="clear" w:color="auto" w:fill="auto"/>
        <w:bidi w:val="0"/>
        <w:spacing w:before="0" w:after="2500" w:line="228" w:lineRule="auto"/>
        <w:ind w:left="0" w:right="0" w:firstLine="0"/>
        <w:jc w:val="right"/>
      </w:pPr>
      <w:r>
        <w:rPr>
          <w:color w:val="000000"/>
          <w:spacing w:val="0"/>
          <w:w w:val="100"/>
          <w:position w:val="0"/>
          <w:shd w:val="clear" w:color="auto" w:fill="auto"/>
          <w:lang w:val="ru-RU" w:eastAsia="ru-RU" w:bidi="ru-RU"/>
        </w:rPr>
        <w:t>Э.З. Гугава</w:t>
      </w:r>
    </w:p>
    <w:p>
      <w:pPr>
        <w:pStyle w:val="Style9"/>
        <w:keepNext w:val="0"/>
        <w:keepLines w:val="0"/>
        <w:widowControl w:val="0"/>
        <w:shd w:val="clear" w:color="auto" w:fill="auto"/>
        <w:bidi w:val="0"/>
        <w:spacing w:before="0" w:after="220" w:line="240" w:lineRule="auto"/>
        <w:ind w:left="0" w:right="0" w:firstLine="0"/>
        <w:jc w:val="left"/>
      </w:pPr>
      <w:r>
        <w:rPr>
          <w:color w:val="000000"/>
          <w:spacing w:val="0"/>
          <w:w w:val="100"/>
          <w:position w:val="0"/>
          <w:shd w:val="clear" w:color="auto" w:fill="auto"/>
          <w:lang w:val="ru-RU" w:eastAsia="ru-RU" w:bidi="ru-RU"/>
        </w:rPr>
        <w:t>Исп.Кутейников А.А. тел.8(495)784-75-05</w:t>
      </w:r>
    </w:p>
    <w:sectPr>
      <w:footnotePr>
        <w:pos w:val="pageBottom"/>
        <w:numFmt w:val="decimal"/>
        <w:numRestart w:val="continuous"/>
      </w:footnotePr>
      <w:type w:val="continuous"/>
      <w:pgSz w:w="11900" w:h="16840"/>
      <w:pgMar w:top="953" w:right="534" w:bottom="968" w:left="1093"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3903980</wp:posOffset>
              </wp:positionH>
              <wp:positionV relativeFrom="page">
                <wp:posOffset>438150</wp:posOffset>
              </wp:positionV>
              <wp:extent cx="128270" cy="103505"/>
              <wp:wrapNone/>
              <wp:docPr id="3" name="Shape 3"/>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7.40000000000003pt;margin-top:34.5pt;width:10.1pt;height:8.1500000000000004pt;z-index:-18874406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bCs/>
      <w:i w:val="0"/>
      <w:iCs w:val="0"/>
      <w:smallCaps w:val="0"/>
      <w:strike w:val="0"/>
      <w:color w:val="425FA6"/>
      <w:sz w:val="19"/>
      <w:szCs w:val="19"/>
      <w:u w:val="none"/>
    </w:rPr>
  </w:style>
  <w:style w:type="character" w:customStyle="1" w:styleId="CharStyle5">
    <w:name w:val="Подпись к картинке_"/>
    <w:basedOn w:val="DefaultParagraphFont"/>
    <w:link w:val="Style4"/>
    <w:rPr>
      <w:rFonts w:ascii="Times New Roman" w:eastAsia="Times New Roman" w:hAnsi="Times New Roman" w:cs="Times New Roman"/>
      <w:b w:val="0"/>
      <w:bCs w:val="0"/>
      <w:i w:val="0"/>
      <w:iCs w:val="0"/>
      <w:smallCaps w:val="0"/>
      <w:strike w:val="0"/>
      <w:color w:val="425FA6"/>
      <w:sz w:val="19"/>
      <w:szCs w:val="19"/>
      <w:u w:val="none"/>
    </w:rPr>
  </w:style>
  <w:style w:type="character" w:customStyle="1" w:styleId="CharStyle8">
    <w:name w:val="Основной текст_"/>
    <w:basedOn w:val="DefaultParagraphFont"/>
    <w:link w:val="Style7"/>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Основной текст (3)_"/>
    <w:basedOn w:val="DefaultParagraphFont"/>
    <w:link w:val="Style9"/>
    <w:rPr>
      <w:rFonts w:ascii="Times New Roman" w:eastAsia="Times New Roman" w:hAnsi="Times New Roman" w:cs="Times New Roman"/>
      <w:b w:val="0"/>
      <w:bCs w:val="0"/>
      <w:i w:val="0"/>
      <w:iCs w:val="0"/>
      <w:smallCaps w:val="0"/>
      <w:strike w:val="0"/>
      <w:sz w:val="22"/>
      <w:szCs w:val="22"/>
      <w:u w:val="none"/>
    </w:rPr>
  </w:style>
  <w:style w:type="character" w:customStyle="1" w:styleId="CharStyle14">
    <w:name w:val="Колонтитул (2)_"/>
    <w:basedOn w:val="DefaultParagraphFont"/>
    <w:link w:val="Style13"/>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Основной текст (2)"/>
    <w:basedOn w:val="Normal"/>
    <w:link w:val="CharStyle3"/>
    <w:pPr>
      <w:widowControl w:val="0"/>
      <w:shd w:val="clear" w:color="auto" w:fill="auto"/>
      <w:spacing w:after="220"/>
      <w:jc w:val="center"/>
    </w:pPr>
    <w:rPr>
      <w:rFonts w:ascii="Times New Roman" w:eastAsia="Times New Roman" w:hAnsi="Times New Roman" w:cs="Times New Roman"/>
      <w:b/>
      <w:bCs/>
      <w:i w:val="0"/>
      <w:iCs w:val="0"/>
      <w:smallCaps w:val="0"/>
      <w:strike w:val="0"/>
      <w:color w:val="425FA6"/>
      <w:sz w:val="19"/>
      <w:szCs w:val="19"/>
      <w:u w:val="none"/>
    </w:rPr>
  </w:style>
  <w:style w:type="paragraph" w:customStyle="1" w:styleId="Style4">
    <w:name w:val="Подпись к картинке"/>
    <w:basedOn w:val="Normal"/>
    <w:link w:val="CharStyle5"/>
    <w:pPr>
      <w:widowControl w:val="0"/>
      <w:shd w:val="clear" w:color="auto" w:fill="auto"/>
      <w:jc w:val="center"/>
    </w:pPr>
    <w:rPr>
      <w:rFonts w:ascii="Times New Roman" w:eastAsia="Times New Roman" w:hAnsi="Times New Roman" w:cs="Times New Roman"/>
      <w:b w:val="0"/>
      <w:bCs w:val="0"/>
      <w:i w:val="0"/>
      <w:iCs w:val="0"/>
      <w:smallCaps w:val="0"/>
      <w:strike w:val="0"/>
      <w:color w:val="425FA6"/>
      <w:sz w:val="19"/>
      <w:szCs w:val="19"/>
      <w:u w:val="none"/>
    </w:rPr>
  </w:style>
  <w:style w:type="paragraph" w:customStyle="1" w:styleId="Style7">
    <w:name w:val="Основной текст"/>
    <w:basedOn w:val="Normal"/>
    <w:link w:val="CharStyle8"/>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Основной текст (3)"/>
    <w:basedOn w:val="Normal"/>
    <w:link w:val="CharStyle10"/>
    <w:pPr>
      <w:widowControl w:val="0"/>
      <w:shd w:val="clear" w:color="auto" w:fill="auto"/>
      <w:spacing w:after="230"/>
    </w:pPr>
    <w:rPr>
      <w:rFonts w:ascii="Times New Roman" w:eastAsia="Times New Roman" w:hAnsi="Times New Roman" w:cs="Times New Roman"/>
      <w:b w:val="0"/>
      <w:bCs w:val="0"/>
      <w:i w:val="0"/>
      <w:iCs w:val="0"/>
      <w:smallCaps w:val="0"/>
      <w:strike w:val="0"/>
      <w:sz w:val="22"/>
      <w:szCs w:val="22"/>
      <w:u w:val="none"/>
    </w:rPr>
  </w:style>
  <w:style w:type="paragraph" w:customStyle="1" w:styleId="Style13">
    <w:name w:val="Колонтитул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 Id="rId10" Type="http://schemas.openxmlformats.org/officeDocument/2006/relationships/header" Target="header2.xml"/></Relationships>
</file>