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542" w:h="701" w:wrap="none" w:hAnchor="page" w:x="1453" w:y="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7"/>
        <w:keepNext w:val="0"/>
        <w:keepLines w:val="0"/>
        <w:framePr w:w="4570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«Шарыповская городская больница» мкр. Пионерный, д. 7, г. Шарыпово, Красноярский край, 662311</w:t>
      </w:r>
    </w:p>
    <w:p>
      <w:pPr>
        <w:pStyle w:val="Style7"/>
        <w:keepNext w:val="0"/>
        <w:keepLines w:val="0"/>
        <w:framePr w:w="4570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рос!коп1оуа@ зЬагсгЬ.ш</w:t>
      </w:r>
    </w:p>
    <w:p>
      <w:pPr>
        <w:pStyle w:val="Style2"/>
        <w:keepNext w:val="0"/>
        <w:keepLines w:val="0"/>
        <w:framePr w:w="2976" w:h="653" w:wrap="none" w:hAnchor="page" w:x="1726" w:y="171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(319) 211-01-14</w:t>
        <w:br/>
        <w:t>е-таП: 1о24@Й8.§оу.ги</w:t>
      </w:r>
    </w:p>
    <w:p>
      <w:pPr>
        <w:pStyle w:val="Style7"/>
        <w:keepNext w:val="0"/>
        <w:keepLines w:val="0"/>
        <w:framePr w:w="4747" w:h="883" w:wrap="none" w:hAnchor="page" w:x="6406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ул Кожевническая 14, стр. 5, г.Москва, 115114</w:t>
      </w:r>
    </w:p>
    <w:p>
      <w:pPr>
        <w:pStyle w:val="Style7"/>
        <w:keepNext w:val="0"/>
        <w:keepLines w:val="0"/>
        <w:framePr w:w="4747" w:h="883" w:wrap="none" w:hAnchor="page" w:x="6406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ко@го8е11огд.ш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541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«ДезМедСервис»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Ломоносова, д. 70, помещ. 2, оф. 103, 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114300</wp:posOffset>
                </wp:positionV>
                <wp:extent cx="307975" cy="1524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9.pt;width:24.2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Красноярск, 660058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46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^еxМед8е^V^8@уапдеx.ш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024/06/106-1118/2023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6307455</wp:posOffset>
                </wp:positionH>
                <wp:positionV relativeFrom="paragraph">
                  <wp:posOffset>25400</wp:posOffset>
                </wp:positionV>
                <wp:extent cx="905510" cy="21018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6.65000000000003pt;margin-top:2.pt;width:71.299999999999997pt;height:16.5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 мая 2023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Врио заместителя руководителя - начальника аналитического отдела, начальник контрольного отдела А.А. Кириллова, члены Комиссии - М.А. Грицай, заместитель начальника отдела, М.А. Косенко - специалист - эксперт (далее - Комиссия), рассмотрев жалобу ООО «ДезМедСервис» (далее - податель жалобы) на действия заказчика - КГБУЗ «Шарыповская городская больница» (далее - заказчик) при определении поставщика (подрядчика, исполнителя) путем электронного аукциона «На право поставки дезинфицирующих средств для нужд КГБУЗ «Шарыповская ГБ», размещенного на электронной площадке АО «ЕЭТП» (далее - оператор электронной площадки),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ООО «ДезМедСервис» (далее - податель жалобы) на действия заказчика при определении поставщика (подрядчика, исполнителя) путем электронного аукциона «На право поставки дезинфицирующих средств для нужд КГБУЗ «Шарыповская ГБ», номер извещения № 0319200068523000042.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оператору электронной площадки было предложено предоставить в адрес Красноярского УФАС России документы и сведения, необходимые для рассмотрения жалобы.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существу, состоявшемся 28 апреля 2023 года в 11:30, податель жалобы обеспечил явку своего представителя. Личность удостоверена, полномочия подтверждены.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явку своего представителя не обеспечил, ходатайств не направлял.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необходимостью получения дополнительных пояснений, в рассмотрении жалобы по существу был объявлен перерыв до 02.05.2023 в 17:30.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назначенное время рассмотрение жалобы по существу продолжилось в отсутствие представителя заказчика.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содержания жалобы следует, что заказчиком в описании объекта закупки указаны технические характеристики, с учетом которых не представляется возможным поставить товар,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8"/>
        </w:rPr>
        <w:t>удовлетворяющий потребности заказчика, поскольку такие товары на рынке отсутствуют.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 доводом жалобы не согласен и представил свои возражения.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у заказчика потребностью им были совершены действия по определению поставщика (подрядчика, исполнителя) путем проведения электронного аукциона электронного аукциона «На право поставки дезинфицирующих средств для нужд КГБУЗ «Шарыповская ГБ».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 следующий электронный документ: описание объекта закупки в соответствии со статьей 33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 о контрактной системе прямо устанавливает принципы регулируемого законодательства, которые являются его основой, и каждая из его норм, фактически, корреспондирует к какому-либо из принципов, позволяя обеспечить возможность их соблюдения. При этом согласно статям 6,8,12 Закона о контрактной системе заказчику, в том числе при описании объекта закупки надлежит руководствоваться принципами обеспечения конкуренции и результативности и эффективности осуществления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отмечает, что описание объекта закупки должно отражать реальную, обоснованную, объективную потребность заказчика для целей: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закупки заказчиком товаров, которые в полной мере удовлетворят нужду заказчика;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обеспечения заказчиком исполнения принципа эффективности осуществления закупок;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допуска нерационального расходования бюджетных средств заказчиком;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обеспечения заказчиком исполнения принципа обеспечения конкуренции;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допуска необоснованного сокращения заказчиком числа участников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Комиссия, проанализировав описание объекта закупки, установила, что предметом закупки являются дезинфицирующие средства.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по позиции №5 описания объекта закупки, к поставке требуется товар: средство дезинфицирующее (форма выпуска- гель).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характеристики товара, указанные заказчиком в позиции № 5, не соответствуют характеристикам, указанным в инструкциях по применению.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была предоставлена таблица эквивалентности, согласно которой, по мнению заказчика, два дезинфицирующих средства (Савир-софт, Вирасофт) полностью соответствуют характеристикам, установленным в описании объекта закупки по позиции №5.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Комиссия, изучив инструкцию по применению дезинфицирующего средства (Савир- софт (ЧАС), отмечает, что запрашиваемые заказчиком технические характеристики не соответствуют тем, которые указаны в инструкции, а именно: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инструкция не содержит в себе информацию относительно обработки кожи операционного поля, обработки инъекционного поля, обработки локтевых сгибов доноров, а так же данная инструкция не содержит в себе информацию об активности против вируса кори. Таким образом, комиссия приходит к выводу о том, что указанное заказчиком средство (Савир- софт (ЧАС) не соответствует характеристикам, установленным заказчиком в описании объекта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также изучила инструкцию по применению дезинфицирующего средства (Вирасофт) и также отмечает тот факт, что запрашиваемые технические характеристики не соответствуют тем, которые указаны в инструкции, а именно: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инструкция не содержит в себе информацию относительно обработки кожи операционного поля, обработки инъекционного поля, обработки локтевых сгибов доноров. То есть средство Вирасофт также не способно удовлетворить в полной мере потребности заказчика.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так же принимает во внимание таблицу сравнения характеристик дезинфицирующих средств, указанных в описании объекта закупки, с характеристиками, содержащимися в утвержденной форме инструкции по применению данных дезинфицирующих средств, представленную подателем жалобы во время рассмотрения жалобы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представленной подателем жалобы таблицы следует, что ни одно дезинфицирующее средство, из тех, которые были проанализированы подателем жалобы, в том числе те, на которые ссылается заказчик, не соответствуют в полной мере заявленным заказчиком характеристикам. Так же податель жалобы обратил внимание на тот факт, что характеристики указанные заказчиком относятся к антисептикам с высоким содержанием спирта, а средства, представленные заказчиком в эквивалентной таблице являются мылом.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Комиссия отмечает, что не может являться объективной потребностью заказчика мыло вместо дезинфицирующего средства, используемого в качестве антисептика.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Доказательств обратного заказчиком представлено не было, факт их наличия Комиссией не установлена.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 изложенное, Комиссия пришла к выводу, что описание объекта закупки составлено заказчиком в нарушение статьи 42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Нарушение статьи 42 Закона о контрактной системе образует состав административного правонарушения, ответственность за которое предусмотренного частью 1.4 статьи 7.30 КоАП.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жалобы, проведения внеплановой проверки, руководствуясь частями 3, 15,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Красноярского УФАС России решила: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«ДезМедСервис» 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статьи 42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 предписание об устранении выявленных нарушений путем внесения изменений в извещение о закупке.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Аукционной комиссии, заказчику, оператору электронной площадки отменить все протоколы, составленные в ходе проведения электронного аукциона.</w:t>
      </w:r>
      <w:r>
        <w:br w:type="page"/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не менее, чем на 3 дня, начиная со дня выставления извещения о закупке.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12700</wp:posOffset>
                </wp:positionV>
                <wp:extent cx="1637030" cy="53975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7030" cy="539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25pt;margin-top:1.pt;width:128.90000000000001pt;height:42.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Кириллова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Косенко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57" w:right="537" w:bottom="1230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9977120</wp:posOffset>
              </wp:positionV>
              <wp:extent cx="6432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5.60000000000002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