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54"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Челябинской области</w:t>
      </w:r>
    </w:p>
    <w:p>
      <w:pPr>
        <w:pStyle w:val="Style5"/>
        <w:keepNext w:val="0"/>
        <w:keepLines w:val="0"/>
        <w:widowControl w:val="0"/>
        <w:shd w:val="clear" w:color="auto" w:fill="auto"/>
        <w:bidi w:val="0"/>
        <w:spacing w:before="0" w:after="0" w:line="276" w:lineRule="auto"/>
        <w:ind w:left="0" w:right="0" w:firstLine="0"/>
        <w:jc w:val="center"/>
      </w:pPr>
      <w:r>
        <w:rPr>
          <w:b w:val="0"/>
          <w:bCs w:val="0"/>
          <w:spacing w:val="0"/>
          <w:w w:val="100"/>
          <w:position w:val="0"/>
          <w:shd w:val="clear" w:color="auto" w:fill="auto"/>
          <w:lang w:val="ru-RU" w:eastAsia="ru-RU" w:bidi="ru-RU"/>
        </w:rPr>
        <w:t>пр. Ленина, 59, г.Чедябинск, 454091</w:t>
        <w:br/>
        <w:t>тел. (351) 263-88-71, факс (351) 263-18-39</w:t>
      </w:r>
    </w:p>
    <w:p>
      <w:pPr>
        <w:pStyle w:val="Style5"/>
        <w:keepNext w:val="0"/>
        <w:keepLines w:val="0"/>
        <w:widowControl w:val="0"/>
        <w:shd w:val="clear" w:color="auto" w:fill="auto"/>
        <w:bidi w:val="0"/>
        <w:spacing w:before="0" w:after="240" w:line="276" w:lineRule="auto"/>
        <w:ind w:left="0" w:right="0" w:firstLine="0"/>
        <w:jc w:val="center"/>
      </w:pPr>
      <w:r>
        <w:rPr>
          <w:b w:val="0"/>
          <w:bCs w:val="0"/>
          <w:spacing w:val="0"/>
          <w:w w:val="100"/>
          <w:position w:val="0"/>
          <w:u w:val="single"/>
          <w:shd w:val="clear" w:color="auto" w:fill="auto"/>
          <w:lang w:val="ru-RU" w:eastAsia="ru-RU" w:bidi="ru-RU"/>
        </w:rPr>
        <w:t>е-таП: 1о74@Та8.еоу.ги</w:t>
      </w:r>
    </w:p>
    <w:p>
      <w:pPr>
        <w:pStyle w:val="Style9"/>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ВЛ/5786/2</w:t>
      </w:r>
      <w:r>
        <w:rPr>
          <w:color w:val="000000"/>
          <w:spacing w:val="0"/>
          <w:w w:val="100"/>
          <w:position w:val="0"/>
          <w:u w:val="none"/>
          <w:shd w:val="clear" w:color="auto" w:fill="auto"/>
          <w:lang w:val="ru-RU" w:eastAsia="ru-RU" w:bidi="ru-RU"/>
        </w:rPr>
        <w:t>3</w:t>
      </w:r>
      <w:bookmarkEnd w:id="0"/>
    </w:p>
    <w:p>
      <w:pPr>
        <w:pStyle w:val="Style5"/>
        <w:keepNext w:val="0"/>
        <w:keepLines w:val="0"/>
        <w:widowControl w:val="0"/>
        <w:shd w:val="clear" w:color="auto" w:fill="auto"/>
        <w:bidi w:val="0"/>
        <w:spacing w:before="0" w:after="620"/>
        <w:ind w:left="0" w:right="0" w:firstLine="0"/>
        <w:jc w:val="both"/>
      </w:pPr>
      <w:r>
        <w:rPr>
          <w:b w:val="0"/>
          <w:bCs w:val="0"/>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 xml:space="preserve">ООО «ЭР ОПТИКС» 123458, г. Москва, ул. Твардовского, д. 8, пом. I, ком. 6,7,23,25 </w:t>
      </w:r>
      <w:r>
        <w:fldChar w:fldCharType="begin"/>
      </w:r>
      <w:r>
        <w:rPr/>
        <w:instrText> HYPERLINK "mailto:info@r-optic.ru" </w:instrText>
      </w:r>
      <w:r>
        <w:fldChar w:fldCharType="separate"/>
      </w:r>
      <w:r>
        <w:rPr>
          <w:color w:val="000080"/>
          <w:spacing w:val="0"/>
          <w:w w:val="100"/>
          <w:position w:val="0"/>
          <w:sz w:val="28"/>
          <w:szCs w:val="28"/>
          <w:u w:val="single"/>
          <w:shd w:val="clear" w:color="auto" w:fill="auto"/>
          <w:lang w:val="ru-RU" w:eastAsia="ru-RU" w:bidi="ru-RU"/>
        </w:rPr>
        <w:t>тГо@г-ор1йс.ги</w:t>
      </w:r>
      <w:r>
        <w:fldChar w:fldCharType="end"/>
      </w:r>
      <w:r>
        <w:rPr>
          <w:color w:val="000080"/>
          <w:spacing w:val="0"/>
          <w:w w:val="100"/>
          <w:position w:val="0"/>
          <w:sz w:val="28"/>
          <w:szCs w:val="28"/>
          <w:u w:val="single"/>
          <w:shd w:val="clear" w:color="auto" w:fill="auto"/>
          <w:lang w:val="ru-RU" w:eastAsia="ru-RU" w:bidi="ru-RU"/>
        </w:rPr>
        <w:t xml:space="preserve"> </w:t>
      </w:r>
      <w:r>
        <w:fldChar w:fldCharType="begin"/>
      </w:r>
      <w:r>
        <w:rPr/>
        <w:instrText> HYPERLINK "mailto:tender@r-optics.ru" </w:instrText>
      </w:r>
      <w:r>
        <w:fldChar w:fldCharType="separate"/>
      </w:r>
      <w:r>
        <w:rPr>
          <w:color w:val="000080"/>
          <w:spacing w:val="0"/>
          <w:w w:val="100"/>
          <w:position w:val="0"/>
          <w:sz w:val="28"/>
          <w:szCs w:val="28"/>
          <w:u w:val="single"/>
          <w:shd w:val="clear" w:color="auto" w:fill="auto"/>
          <w:lang w:val="ru-RU" w:eastAsia="ru-RU" w:bidi="ru-RU"/>
        </w:rPr>
        <w:t>{епдег@г-ор11с8.ги</w:t>
      </w:r>
      <w:r>
        <w:fldChar w:fldCharType="end"/>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 xml:space="preserve">Федеральное государственное бюджетное образовательное учреждение высшего образования «Южно-Уральский государственный медицинский университет» Министерства здравоохранения Российской Федерации 454092, Челябинская область, г. Челябинск, ул. Воровского, 64 </w:t>
      </w:r>
      <w:r>
        <w:fldChar w:fldCharType="begin"/>
      </w:r>
      <w:r>
        <w:rPr/>
        <w:instrText> HYPERLINK "mailto:chelgma@ya.ru" </w:instrText>
      </w:r>
      <w:r>
        <w:fldChar w:fldCharType="separate"/>
      </w:r>
      <w:r>
        <w:rPr>
          <w:color w:val="000080"/>
          <w:spacing w:val="0"/>
          <w:w w:val="100"/>
          <w:position w:val="0"/>
          <w:sz w:val="28"/>
          <w:szCs w:val="28"/>
          <w:u w:val="single"/>
          <w:shd w:val="clear" w:color="auto" w:fill="auto"/>
          <w:lang w:val="ru-RU" w:eastAsia="ru-RU" w:bidi="ru-RU"/>
        </w:rPr>
        <w:t>ске1дта@,уа.ш</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«РТС-Тендер»</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 xml:space="preserve">121151, г. Москва, Набережная Тараса Шевченко, д. 23А, эт. 25, пом. № 1 </w:t>
      </w:r>
      <w:r>
        <w:fldChar w:fldCharType="begin"/>
      </w:r>
      <w:r>
        <w:rPr/>
        <w:instrText> HYPERLINK "mailto:ko@rts-tender.ru" </w:instrText>
      </w:r>
      <w:r>
        <w:fldChar w:fldCharType="separate"/>
      </w:r>
      <w:r>
        <w:rPr>
          <w:color w:val="000080"/>
          <w:spacing w:val="0"/>
          <w:w w:val="100"/>
          <w:position w:val="0"/>
          <w:sz w:val="28"/>
          <w:szCs w:val="28"/>
          <w:u w:val="single"/>
          <w:shd w:val="clear" w:color="auto" w:fill="auto"/>
          <w:lang w:val="ru-RU" w:eastAsia="ru-RU" w:bidi="ru-RU"/>
        </w:rPr>
        <w:t>ко@г18-1епдег.ги</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877" w:bottom="1289" w:left="1140" w:header="0" w:footer="3" w:gutter="0"/>
          <w:pgNumType w:start="1"/>
          <w:cols w:num="2" w:space="720" w:equalWidth="0">
            <w:col w:w="4181" w:space="1080"/>
            <w:col w:w="4622"/>
          </w:cols>
          <w:noEndnote/>
          <w:titlePg/>
          <w:rtlGutter w:val="0"/>
          <w:docGrid w:linePitch="360"/>
        </w:sectPr>
      </w:pPr>
      <w:r>
        <w:rPr>
          <w:color w:val="000000"/>
          <w:spacing w:val="0"/>
          <w:w w:val="100"/>
          <w:position w:val="0"/>
          <w:sz w:val="28"/>
          <w:szCs w:val="28"/>
          <w:shd w:val="clear" w:color="auto" w:fill="auto"/>
          <w:lang w:val="ru-RU" w:eastAsia="ru-RU" w:bidi="ru-RU"/>
        </w:rPr>
        <w:t>Комиссии по осуществлению закупок (извещение № 0369100040223000272)</w:t>
      </w:r>
    </w:p>
    <w:p>
      <w:pPr>
        <w:widowControl w:val="0"/>
        <w:spacing w:line="135" w:lineRule="exact"/>
        <w:rPr>
          <w:sz w:val="11"/>
          <w:szCs w:val="11"/>
        </w:rPr>
      </w:pPr>
    </w:p>
    <w:p>
      <w:pPr>
        <w:widowControl w:val="0"/>
        <w:spacing w:line="1" w:lineRule="exact"/>
        <w:sectPr>
          <w:footnotePr>
            <w:pos w:val="pageBottom"/>
            <w:numFmt w:val="decimal"/>
            <w:numRestart w:val="continuous"/>
          </w:footnotePr>
          <w:type w:val="continuous"/>
          <w:pgSz w:w="11900" w:h="16840"/>
          <w:pgMar w:top="548" w:right="0" w:bottom="1226" w:left="0" w:header="0" w:footer="3" w:gutter="0"/>
          <w:cols w:space="720"/>
          <w:noEndnote/>
          <w:rtlGutter w:val="0"/>
          <w:docGrid w:linePitch="360"/>
        </w:sectPr>
      </w:pP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 № 074/06/105-1000/2023 (№ 231-ж/2023)</w:t>
      </w:r>
    </w:p>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Челябинск, пр. Ленина, 59</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02 мая 2023 года</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05 мая 2023 года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center"/>
        <w:tblLayout w:type="fixed"/>
      </w:tblPr>
      <w:tblGrid>
        <w:gridCol w:w="4358"/>
        <w:gridCol w:w="5894"/>
      </w:tblGrid>
      <w:tr>
        <w:trPr>
          <w:trHeight w:val="1205"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ru-RU" w:eastAsia="ru-RU" w:bidi="ru-RU"/>
              </w:rPr>
              <w:t>Председателя Ливончик В.А. Комиссии:</w:t>
            </w:r>
          </w:p>
        </w:tc>
        <w:tc>
          <w:tcPr>
            <w:tcBorders/>
            <w:shd w:val="clear" w:color="auto" w:fill="auto"/>
            <w:vAlign w:val="bottom"/>
          </w:tcPr>
          <w:p>
            <w:pPr>
              <w:pStyle w:val="Style24"/>
              <w:keepNext w:val="0"/>
              <w:keepLines w:val="0"/>
              <w:widowControl w:val="0"/>
              <w:shd w:val="clear" w:color="auto" w:fill="auto"/>
              <w:bidi w:val="0"/>
              <w:spacing w:before="0" w:after="0" w:line="240" w:lineRule="auto"/>
              <w:ind w:left="480" w:right="0" w:hanging="220"/>
              <w:jc w:val="both"/>
            </w:pPr>
            <w:r>
              <w:rPr>
                <w:color w:val="000000"/>
                <w:spacing w:val="0"/>
                <w:w w:val="100"/>
                <w:position w:val="0"/>
                <w:shd w:val="clear" w:color="auto" w:fill="auto"/>
                <w:lang w:val="ru-RU" w:eastAsia="ru-RU" w:bidi="ru-RU"/>
              </w:rPr>
              <w:t>- 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trPr>
          <w:trHeight w:val="1200" w:hRule="exact"/>
        </w:trPr>
        <w:tc>
          <w:tcPr>
            <w:tcBorders/>
            <w:shd w:val="clear" w:color="auto" w:fill="auto"/>
            <w:vAlign w:val="top"/>
          </w:tcPr>
          <w:p>
            <w:pPr>
              <w:pStyle w:val="Style24"/>
              <w:keepNext w:val="0"/>
              <w:keepLines w:val="0"/>
              <w:widowControl w:val="0"/>
              <w:shd w:val="clear" w:color="auto" w:fill="auto"/>
              <w:tabs>
                <w:tab w:pos="2002" w:val="left"/>
              </w:tabs>
              <w:bidi w:val="0"/>
              <w:spacing w:before="0" w:after="0" w:line="240" w:lineRule="auto"/>
              <w:ind w:left="0" w:right="0" w:firstLine="140"/>
              <w:jc w:val="left"/>
            </w:pPr>
            <w:r>
              <w:rPr>
                <w:color w:val="000000"/>
                <w:spacing w:val="0"/>
                <w:w w:val="100"/>
                <w:position w:val="0"/>
                <w:shd w:val="clear" w:color="auto" w:fill="auto"/>
                <w:lang w:val="ru-RU" w:eastAsia="ru-RU" w:bidi="ru-RU"/>
              </w:rPr>
              <w:t>Членов</w:t>
              <w:tab/>
              <w:t>Сарсенбаевой Е.Н.</w:t>
            </w:r>
          </w:p>
          <w:p>
            <w:pPr>
              <w:pStyle w:val="Style24"/>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24"/>
              <w:keepNext w:val="0"/>
              <w:keepLines w:val="0"/>
              <w:widowControl w:val="0"/>
              <w:shd w:val="clear" w:color="auto" w:fill="auto"/>
              <w:bidi w:val="0"/>
              <w:spacing w:before="0" w:after="0" w:line="240" w:lineRule="auto"/>
              <w:ind w:left="48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r>
        <w:trPr>
          <w:trHeight w:val="1334"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2000" w:right="0" w:firstLine="0"/>
              <w:jc w:val="left"/>
            </w:pPr>
            <w:r>
              <w:rPr>
                <w:color w:val="000000"/>
                <w:spacing w:val="0"/>
                <w:w w:val="100"/>
                <w:position w:val="0"/>
                <w:shd w:val="clear" w:color="auto" w:fill="auto"/>
                <w:lang w:val="ru-RU" w:eastAsia="ru-RU" w:bidi="ru-RU"/>
              </w:rPr>
              <w:t>Гареевой Д.Ф.</w:t>
            </w:r>
          </w:p>
        </w:tc>
        <w:tc>
          <w:tcPr>
            <w:tcBorders/>
            <w:shd w:val="clear" w:color="auto" w:fill="auto"/>
            <w:vAlign w:val="top"/>
          </w:tcPr>
          <w:p>
            <w:pPr>
              <w:pStyle w:val="Style24"/>
              <w:keepNext w:val="0"/>
              <w:keepLines w:val="0"/>
              <w:widowControl w:val="0"/>
              <w:shd w:val="clear" w:color="auto" w:fill="auto"/>
              <w:tabs>
                <w:tab w:pos="1993" w:val="left"/>
              </w:tabs>
              <w:bidi w:val="0"/>
              <w:spacing w:before="0" w:after="0" w:line="240" w:lineRule="auto"/>
              <w:ind w:left="0" w:right="0" w:firstLine="260"/>
              <w:jc w:val="left"/>
            </w:pPr>
            <w:r>
              <w:rPr>
                <w:color w:val="000000"/>
                <w:spacing w:val="0"/>
                <w:w w:val="100"/>
                <w:position w:val="0"/>
                <w:shd w:val="clear" w:color="auto" w:fill="auto"/>
                <w:lang w:val="ru-RU" w:eastAsia="ru-RU" w:bidi="ru-RU"/>
              </w:rPr>
              <w:t>- главного</w:t>
              <w:tab/>
              <w:t>специалиста-эксперта отдела</w:t>
            </w:r>
          </w:p>
          <w:p>
            <w:pPr>
              <w:pStyle w:val="Style24"/>
              <w:keepNext w:val="0"/>
              <w:keepLines w:val="0"/>
              <w:widowControl w:val="0"/>
              <w:shd w:val="clear" w:color="auto" w:fill="auto"/>
              <w:bidi w:val="0"/>
              <w:spacing w:before="0" w:after="0" w:line="240" w:lineRule="auto"/>
              <w:ind w:left="480" w:right="0" w:firstLine="0"/>
              <w:jc w:val="both"/>
            </w:pPr>
            <w:r>
              <w:rPr>
                <w:color w:val="000000"/>
                <w:spacing w:val="0"/>
                <w:w w:val="100"/>
                <w:position w:val="0"/>
                <w:shd w:val="clear" w:color="auto" w:fill="auto"/>
                <w:lang w:val="ru-RU" w:eastAsia="ru-RU" w:bidi="ru-RU"/>
              </w:rPr>
              <w:t>контроля закупок для государственных и муниципальных нужд Челябинского УФАС России,</w:t>
            </w:r>
          </w:p>
        </w:tc>
      </w:tr>
    </w:tbl>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руководствуясь частью 15 статьи 99, статьей 106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ООО «ЭР ОПТИКС» на положения извещения об осуществлении закупки № 248-2023 на поставку медицинского оборудования (Микроскоп хирургический) для Клиники ФГБОУ ВО ЮУГМУ Минздрава России (извещение № 0369100040223000272), в присутствии:</w:t>
      </w:r>
    </w:p>
    <w:p>
      <w:pPr>
        <w:pStyle w:val="Style15"/>
        <w:keepNext w:val="0"/>
        <w:keepLines w:val="0"/>
        <w:widowControl w:val="0"/>
        <w:numPr>
          <w:ilvl w:val="0"/>
          <w:numId w:val="1"/>
        </w:numPr>
        <w:shd w:val="clear" w:color="auto" w:fill="auto"/>
        <w:tabs>
          <w:tab w:pos="432"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представителя Федерального государственного бюджетного образовательного учреждения высшего образования «Южно-Уральский государственный медицинский университет» Министерства здравоохранения Российской Федерации (далее - заказчик) Грищени В.И., действующего на основании доверенности от 29.09.2022 № 58;</w:t>
      </w:r>
    </w:p>
    <w:p>
      <w:pPr>
        <w:pStyle w:val="Style15"/>
        <w:keepNext w:val="0"/>
        <w:keepLines w:val="0"/>
        <w:widowControl w:val="0"/>
        <w:numPr>
          <w:ilvl w:val="0"/>
          <w:numId w:val="1"/>
        </w:numPr>
        <w:shd w:val="clear" w:color="auto" w:fill="auto"/>
        <w:tabs>
          <w:tab w:pos="432" w:val="left"/>
        </w:tabs>
        <w:bidi w:val="0"/>
        <w:spacing w:before="0" w:after="260" w:line="240" w:lineRule="auto"/>
        <w:ind w:left="0" w:right="0" w:firstLine="0"/>
        <w:jc w:val="both"/>
      </w:pPr>
      <w:r>
        <w:rPr>
          <w:color w:val="000000"/>
          <w:spacing w:val="0"/>
          <w:w w:val="100"/>
          <w:position w:val="0"/>
          <w:shd w:val="clear" w:color="auto" w:fill="auto"/>
          <w:lang w:val="ru-RU" w:eastAsia="ru-RU" w:bidi="ru-RU"/>
        </w:rPr>
        <w:t>представителей ООО «ЭР ОПТИКС» (далее — заявитель) Ионцевой Н.И., Пиврик А.К., действующих на основании доверенности от 22.03.2023,</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Челябинское УФАС России 24.04.2023 поступила жалоба заявителя на положения извещения об осуществлении закупки № 248-2023 на поставку медицинского оборудования (Микроскоп хирургический) для Клиники ФГБОУ ВО ЮУГМУ Минздрава России (извещение № 0369100040223000272) (далее - аукцион, закупка).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представленным документам извещение о проведении электронного аукциона опубликовано заказчиком в единой информационной системе в сфере закупок </w:t>
      </w:r>
      <w:r>
        <w:fldChar w:fldCharType="begin"/>
      </w:r>
      <w:r>
        <w:rPr/>
        <w:instrText> HYPERLINK "http://www.zakupki.gov.ru/" </w:instrText>
      </w:r>
      <w:r>
        <w:fldChar w:fldCharType="separate"/>
      </w:r>
      <w:r>
        <w:rPr>
          <w:smallCaps/>
          <w:color w:val="000080"/>
          <w:spacing w:val="0"/>
          <w:w w:val="100"/>
          <w:position w:val="0"/>
          <w:u w:val="single"/>
          <w:shd w:val="clear" w:color="auto" w:fill="auto"/>
          <w:lang w:val="ru-RU" w:eastAsia="ru-RU" w:bidi="ru-RU"/>
        </w:rPr>
        <w:t>\у\у\у.</w:t>
      </w:r>
      <w:r>
        <w:rPr>
          <w:color w:val="000080"/>
          <w:spacing w:val="0"/>
          <w:w w:val="100"/>
          <w:position w:val="0"/>
          <w:u w:val="single"/>
          <w:shd w:val="clear" w:color="auto" w:fill="auto"/>
          <w:lang w:val="ru-RU" w:eastAsia="ru-RU" w:bidi="ru-RU"/>
        </w:rPr>
        <w:t xml:space="preserve"> гакиркд. .доущ</w:t>
      </w:r>
      <w:r>
        <w:fldChar w:fldCharType="end"/>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17.04.2023, изменение извещения о проведении электронного аукциона — 20.04.2023.</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- 15 339 038,00 рублей.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момент рассмотрения жалобы контракт по итогам закупки не заключен.</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Доводы жалобы заключаются в следующем.</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В нарушение части 6 статьи 23 Закона о контрактной системе,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заказчик не применил информацию, обязательную к использованию, в части описания обязательных характеристик, а также указал дополнительные характеристики товара.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 В нарушение пункта 1 части 1 статьи 33 Закона о контрактной системе, заказчик установил требования к товару, которые повлекли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Представитель заказчика с доводами жалобы не согласился, представил письменные пояснения, которые на заседании Комиссии поддержал, и указал следующее.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Поскольку в каталоге товаров, работ, услуг для обеспечения государственных и муниципальных нужд отсутствует позиция с требуемыми заказчику параметрами, заказчиком принято решение об описании объекта закупки по ОКПД2 26.70.22.150 в соответствии со статьей 33 Закона о контрактной системе, с ограничениями и условиями допуска согласно статье 14 Закона о контрактной системе.</w:t>
      </w:r>
    </w:p>
    <w:p>
      <w:pPr>
        <w:pStyle w:val="Style15"/>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 xml:space="preserve">2. При подготовке к осуществлению закупки заказчиком исследовался рынок хирургических микроскопов по профилю «оториноларингология», направлялись запросы от 30.03.2023 о соответствии технических характеристик, соответствующих потребности заказчика, товару потенциальных поставщиков. По результатам проведенной работы в целях недопущения ограничения конкуренции требованиям извещения об осуществлении </w:t>
      </w:r>
      <w:r>
        <w:rPr>
          <w:color w:val="000000"/>
          <w:spacing w:val="0"/>
          <w:w w:val="100"/>
          <w:position w:val="0"/>
          <w:shd w:val="clear" w:color="auto" w:fill="auto"/>
          <w:lang w:val="ru-RU" w:eastAsia="ru-RU" w:bidi="ru-RU"/>
        </w:rPr>
        <w:t>закупки соответствует товар, как минимум, 2 производителей. В доказательство своих доводов заказчик предоставляет сравнительную таблицу с характеристиками оборудования, а также коммерческие предложения хозяйствующих субъектов.</w:t>
      </w:r>
    </w:p>
    <w:p>
      <w:pPr>
        <w:pStyle w:val="Style15"/>
        <w:keepNext w:val="0"/>
        <w:keepLines w:val="0"/>
        <w:widowControl w:val="0"/>
        <w:shd w:val="clear" w:color="auto" w:fill="auto"/>
        <w:bidi w:val="0"/>
        <w:spacing w:before="0" w:after="260" w:line="240" w:lineRule="auto"/>
        <w:ind w:left="0" w:right="0" w:firstLine="560"/>
        <w:jc w:val="both"/>
      </w:pPr>
      <w:r>
        <w:rPr>
          <w:i/>
          <w:iCs/>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1 части 1 статьи 33 Закона о контрактной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Частью 2 статьи 33 Закона о контрактной системе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тем самым реализуются цели и принципы законодательства о контрактной системе в части прозрачности осуществления закупки, равного доступа к участию в торгах и недопустимости ограничения числа участников закупки.</w:t>
      </w:r>
    </w:p>
    <w:p>
      <w:pPr>
        <w:pStyle w:val="Style15"/>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w:t>
      </w:r>
    </w:p>
    <w:p>
      <w:pPr>
        <w:pStyle w:val="Style15"/>
        <w:keepNext w:val="0"/>
        <w:keepLines w:val="0"/>
        <w:widowControl w:val="0"/>
        <w:numPr>
          <w:ilvl w:val="0"/>
          <w:numId w:val="3"/>
        </w:numPr>
        <w:shd w:val="clear" w:color="auto" w:fill="auto"/>
        <w:tabs>
          <w:tab w:pos="84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w:t>
      </w:r>
      <w:r>
        <w:rPr>
          <w:color w:val="000000"/>
          <w:spacing w:val="0"/>
          <w:w w:val="100"/>
          <w:position w:val="0"/>
          <w:shd w:val="clear" w:color="auto" w:fill="auto"/>
          <w:lang w:val="ru-RU" w:eastAsia="ru-RU" w:bidi="ru-RU"/>
        </w:rPr>
        <w:t>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и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Пунктом 1 Правил формирования каталога установлено, что настоящие Правила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10 Правил формирования каталога в позицию каталога включается следующая информация:</w:t>
      </w:r>
    </w:p>
    <w:p>
      <w:pPr>
        <w:pStyle w:val="Style15"/>
        <w:keepNext w:val="0"/>
        <w:keepLines w:val="0"/>
        <w:widowControl w:val="0"/>
        <w:numPr>
          <w:ilvl w:val="0"/>
          <w:numId w:val="5"/>
        </w:numPr>
        <w:shd w:val="clear" w:color="auto" w:fill="auto"/>
        <w:tabs>
          <w:tab w:pos="92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код позиции каталога, формируемый в соответствии с пунктом 12 настоящих Правил;</w:t>
      </w:r>
    </w:p>
    <w:p>
      <w:pPr>
        <w:pStyle w:val="Style15"/>
        <w:keepNext w:val="0"/>
        <w:keepLines w:val="0"/>
        <w:widowControl w:val="0"/>
        <w:numPr>
          <w:ilvl w:val="0"/>
          <w:numId w:val="5"/>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pPr>
        <w:pStyle w:val="Style15"/>
        <w:keepNext w:val="0"/>
        <w:keepLines w:val="0"/>
        <w:widowControl w:val="0"/>
        <w:numPr>
          <w:ilvl w:val="0"/>
          <w:numId w:val="5"/>
        </w:numPr>
        <w:shd w:val="clear" w:color="auto" w:fill="auto"/>
        <w:tabs>
          <w:tab w:pos="94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w:t>
      </w:r>
    </w:p>
    <w:p>
      <w:pPr>
        <w:pStyle w:val="Style15"/>
        <w:keepNext w:val="0"/>
        <w:keepLines w:val="0"/>
        <w:widowControl w:val="0"/>
        <w:numPr>
          <w:ilvl w:val="0"/>
          <w:numId w:val="5"/>
        </w:numPr>
        <w:shd w:val="clear" w:color="auto" w:fill="auto"/>
        <w:tabs>
          <w:tab w:pos="91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информация, содержащая описание товара, работы, услуги, если такое описание сформировано в соответствии с пунктом 13 настоящих Правил;</w:t>
      </w:r>
    </w:p>
    <w:p>
      <w:pPr>
        <w:pStyle w:val="Style15"/>
        <w:keepNext w:val="0"/>
        <w:keepLines w:val="0"/>
        <w:widowControl w:val="0"/>
        <w:numPr>
          <w:ilvl w:val="0"/>
          <w:numId w:val="5"/>
        </w:numPr>
        <w:shd w:val="clear" w:color="auto" w:fill="auto"/>
        <w:tabs>
          <w:tab w:pos="144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справочная информация: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информация о типовых условиях контрактов, подлежащих применению при закупке товара, работы, услуги (при наличии);</w:t>
      </w:r>
    </w:p>
    <w:p>
      <w:pPr>
        <w:pStyle w:val="Style15"/>
        <w:keepNext w:val="0"/>
        <w:keepLines w:val="0"/>
        <w:widowControl w:val="0"/>
        <w:numPr>
          <w:ilvl w:val="0"/>
          <w:numId w:val="5"/>
        </w:numPr>
        <w:shd w:val="clear" w:color="auto" w:fill="auto"/>
        <w:tabs>
          <w:tab w:pos="144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дата включения в каталог позиции;</w:t>
      </w:r>
    </w:p>
    <w:p>
      <w:pPr>
        <w:pStyle w:val="Style15"/>
        <w:keepNext w:val="0"/>
        <w:keepLines w:val="0"/>
        <w:widowControl w:val="0"/>
        <w:numPr>
          <w:ilvl w:val="0"/>
          <w:numId w:val="5"/>
        </w:numPr>
        <w:shd w:val="clear" w:color="auto" w:fill="auto"/>
        <w:tabs>
          <w:tab w:pos="99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дата (даты) начала обязательного применения информации, включенной в позицию каталога;</w:t>
      </w:r>
    </w:p>
    <w:p>
      <w:pPr>
        <w:pStyle w:val="Style15"/>
        <w:keepNext w:val="0"/>
        <w:keepLines w:val="0"/>
        <w:widowControl w:val="0"/>
        <w:numPr>
          <w:ilvl w:val="0"/>
          <w:numId w:val="5"/>
        </w:numPr>
        <w:shd w:val="clear" w:color="auto" w:fill="auto"/>
        <w:tabs>
          <w:tab w:pos="144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дата окончания применения позиции каталога (при необходимости);</w:t>
      </w:r>
    </w:p>
    <w:p>
      <w:pPr>
        <w:pStyle w:val="Style15"/>
        <w:keepNext w:val="0"/>
        <w:keepLines w:val="0"/>
        <w:widowControl w:val="0"/>
        <w:numPr>
          <w:ilvl w:val="0"/>
          <w:numId w:val="5"/>
        </w:numPr>
        <w:shd w:val="clear" w:color="auto" w:fill="auto"/>
        <w:tabs>
          <w:tab w:pos="144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дополнительная информация в соответствии с пунктом 19 настоящих Правил.</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Пунктом 2 Правил использования каталога предусмотрено, что каталог используется заказчиками в целях:</w:t>
      </w:r>
    </w:p>
    <w:p>
      <w:pPr>
        <w:pStyle w:val="Style15"/>
        <w:keepNext w:val="0"/>
        <w:keepLines w:val="0"/>
        <w:widowControl w:val="0"/>
        <w:numPr>
          <w:ilvl w:val="0"/>
          <w:numId w:val="7"/>
        </w:numPr>
        <w:shd w:val="clear" w:color="auto" w:fill="auto"/>
        <w:tabs>
          <w:tab w:pos="94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обеспечения применения информации о товарах, работах, услугах, в том числе в:</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извещении об осуществлении закупки;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документации о закупке (в случае если Федеральным законом предусмотрена документация о закупке);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контракте;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15"/>
        <w:keepNext w:val="0"/>
        <w:keepLines w:val="0"/>
        <w:widowControl w:val="0"/>
        <w:numPr>
          <w:ilvl w:val="0"/>
          <w:numId w:val="7"/>
        </w:numPr>
        <w:shd w:val="clear" w:color="auto" w:fill="auto"/>
        <w:tabs>
          <w:tab w:pos="88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силу пункта 4 Правил использования каталога заказчики </w:t>
      </w:r>
      <w:r>
        <w:rPr>
          <w:b/>
          <w:bCs/>
          <w:color w:val="000000"/>
          <w:spacing w:val="0"/>
          <w:w w:val="100"/>
          <w:position w:val="0"/>
          <w:shd w:val="clear" w:color="auto" w:fill="auto"/>
          <w:lang w:val="ru-RU" w:eastAsia="ru-RU" w:bidi="ru-RU"/>
        </w:rPr>
        <w:t xml:space="preserve">обязаны </w:t>
      </w:r>
      <w:r>
        <w:rPr>
          <w:color w:val="000000"/>
          <w:spacing w:val="0"/>
          <w:w w:val="100"/>
          <w:position w:val="0"/>
          <w:shd w:val="clear" w:color="auto" w:fill="auto"/>
          <w:lang w:val="ru-RU" w:eastAsia="ru-RU" w:bidi="ru-RU"/>
        </w:rPr>
        <w:t>применять информацию, включенную в позицию каталога в соответствии с подпунктами «б» - «г» и «е» - «з» пункта 10 Правил формирования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9"/>
        </w:numPr>
        <w:shd w:val="clear" w:color="auto" w:fill="auto"/>
        <w:tabs>
          <w:tab w:pos="88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наименование товара, работы, услуги;</w:t>
      </w:r>
    </w:p>
    <w:p>
      <w:pPr>
        <w:pStyle w:val="Style15"/>
        <w:keepNext w:val="0"/>
        <w:keepLines w:val="0"/>
        <w:widowControl w:val="0"/>
        <w:numPr>
          <w:ilvl w:val="0"/>
          <w:numId w:val="9"/>
        </w:numPr>
        <w:shd w:val="clear" w:color="auto" w:fill="auto"/>
        <w:tabs>
          <w:tab w:pos="89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9"/>
        </w:numPr>
        <w:shd w:val="clear" w:color="auto" w:fill="auto"/>
        <w:tabs>
          <w:tab w:pos="89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Согласно пункту 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w:t>
      </w:r>
      <w:r>
        <w:rPr>
          <w:b/>
          <w:bCs/>
          <w:color w:val="000000"/>
          <w:spacing w:val="0"/>
          <w:w w:val="100"/>
          <w:position w:val="0"/>
          <w:shd w:val="clear" w:color="auto" w:fill="auto"/>
          <w:lang w:val="ru-RU" w:eastAsia="ru-RU" w:bidi="ru-RU"/>
        </w:rPr>
        <w:t>за исключением случаев</w:t>
      </w:r>
      <w:r>
        <w:rPr>
          <w:color w:val="000000"/>
          <w:spacing w:val="0"/>
          <w:w w:val="100"/>
          <w:position w:val="0"/>
          <w:shd w:val="clear" w:color="auto" w:fill="auto"/>
          <w:lang w:val="ru-RU" w:eastAsia="ru-RU" w:bidi="ru-RU"/>
        </w:rPr>
        <w:t>:</w:t>
      </w:r>
    </w:p>
    <w:p>
      <w:pPr>
        <w:pStyle w:val="Style15"/>
        <w:keepNext w:val="0"/>
        <w:keepLines w:val="0"/>
        <w:widowControl w:val="0"/>
        <w:numPr>
          <w:ilvl w:val="0"/>
          <w:numId w:val="11"/>
        </w:numPr>
        <w:shd w:val="clear" w:color="auto" w:fill="auto"/>
        <w:tabs>
          <w:tab w:pos="87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w:t>
      </w:r>
      <w:r>
        <w:rPr>
          <w:b/>
          <w:bCs/>
          <w:color w:val="000000"/>
          <w:spacing w:val="0"/>
          <w:w w:val="100"/>
          <w:position w:val="0"/>
          <w:shd w:val="clear" w:color="auto" w:fill="auto"/>
          <w:lang w:val="ru-RU" w:eastAsia="ru-RU" w:bidi="ru-RU"/>
        </w:rPr>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Pr>
          <w:color w:val="000000"/>
          <w:spacing w:val="0"/>
          <w:w w:val="100"/>
          <w:position w:val="0"/>
          <w:shd w:val="clear" w:color="auto" w:fill="auto"/>
          <w:lang w:val="ru-RU" w:eastAsia="ru-RU" w:bidi="ru-RU"/>
        </w:rPr>
        <w:t>;</w:t>
      </w:r>
    </w:p>
    <w:p>
      <w:pPr>
        <w:pStyle w:val="Style15"/>
        <w:keepNext w:val="0"/>
        <w:keepLines w:val="0"/>
        <w:widowControl w:val="0"/>
        <w:numPr>
          <w:ilvl w:val="0"/>
          <w:numId w:val="11"/>
        </w:numPr>
        <w:shd w:val="clear" w:color="auto" w:fill="auto"/>
        <w:tabs>
          <w:tab w:pos="83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если иное не предусмотрено особенностями описания отдельных видов объектов </w:t>
      </w:r>
      <w:r>
        <w:rPr>
          <w:color w:val="000000"/>
          <w:spacing w:val="0"/>
          <w:w w:val="100"/>
          <w:position w:val="0"/>
          <w:shd w:val="clear" w:color="auto" w:fill="auto"/>
          <w:lang w:val="ru-RU" w:eastAsia="ru-RU" w:bidi="ru-RU"/>
        </w:rPr>
        <w:t>закупок, устанавливаемыми Правительством Российской Федерации в соответствии с частью 5 статьи 33 Федерального закона.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Предметом рассматриваемой закупки является поставка медицинского оборудования (Микроскоп хирургический).</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Как следует из Приложения № 1 к извещению об осуществлении закупки «Описание объекта закупки» закупаемый заказчиком товар отнесен к коду ОКПД2 26.70.22.150. При этом код ОКПД2 26.70.22.150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от 10.07.2019 № 878.</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заседании Комиссии представитель заказчика пояснил, что описание объекта закупки сформировано заказчиком в соответствии с требованиями статьи 33 Закона о контрактной системе, поскольку в каталоге товаров работ и услуг (далее - КТРУ) отсутствует позиция соответствующая потребности заказчика, так как объектом закупки является не микроскоп хирургический общего назначения, а микроскоп хирургический для проведения операций для отделения отоларингологии. Предусмотренная позицией КТРУ 26.70.22.150-00000080 комплектация товара не позволяет с достаточной необходимостью определить товар, отвечающий потребностям заказчика. Так, заказчику требуется хирургический микроскоп в комплексе с принадлежностями:</w:t>
      </w:r>
    </w:p>
    <w:p>
      <w:pPr>
        <w:pStyle w:val="Style15"/>
        <w:keepNext w:val="0"/>
        <w:keepLines w:val="0"/>
        <w:widowControl w:val="0"/>
        <w:numPr>
          <w:ilvl w:val="0"/>
          <w:numId w:val="13"/>
        </w:numPr>
        <w:shd w:val="clear" w:color="auto" w:fill="auto"/>
        <w:tabs>
          <w:tab w:pos="75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оптический блок микроскопа (является сложным оптико-электронным устройством, которое с помощью систем оптических линз, призм, зеркал, сервоприводов преобразует световой луч и позволяет (либо служит для) хирургу видеть в окуляры увеличенное стереоизображение операционного поля, варьировать это увеличение в меньшую/большую сторону, изменять освещенность, подстраивать нужную резкость и глубину фокуса);</w:t>
      </w:r>
    </w:p>
    <w:p>
      <w:pPr>
        <w:pStyle w:val="Style15"/>
        <w:keepNext w:val="0"/>
        <w:keepLines w:val="0"/>
        <w:widowControl w:val="0"/>
        <w:numPr>
          <w:ilvl w:val="0"/>
          <w:numId w:val="13"/>
        </w:numPr>
        <w:shd w:val="clear" w:color="auto" w:fill="auto"/>
        <w:tabs>
          <w:tab w:pos="759"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напольный штатив (служит для генерации ксенонового освещения; обеспечения электромагнитного торможения/расторможения всех механических узлов (шарниров) плеч (стрел) микроскопа, автоматической балансировки микроскопа при изменении центра масс; управления настройками всеми системами микроскопа через сенсорный дисплей; отображения видимого операционного поля через монитор; подключения сторонних систем вывода изображения (мед мониторы, видеорегистраторы) или передачи изображения в микроскоп (эндоскопы и др);</w:t>
      </w:r>
    </w:p>
    <w:p>
      <w:pPr>
        <w:pStyle w:val="Style15"/>
        <w:keepNext w:val="0"/>
        <w:keepLines w:val="0"/>
        <w:widowControl w:val="0"/>
        <w:numPr>
          <w:ilvl w:val="0"/>
          <w:numId w:val="13"/>
        </w:numPr>
        <w:shd w:val="clear" w:color="auto" w:fill="auto"/>
        <w:tabs>
          <w:tab w:pos="75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видеосистема (служит для регистрации (записи) изображения с оптического блока в виде статических картин и видео файлов в целях регистрации хода операции).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Представитель заказчика отметил, что данная комплектация к оборудованию является для заказчика определяющей при оказании высокотехнологичной медицинской помощи. Поскольку в КТРУ отсутствует позиция с данными параметрами заказчиком принято решение об описании объекта закупки по ОКПД2 26.70.22.150 с ограничениями и условиями допуска в соответствии со статьей 14 Закона о контрактной системе.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Представители заявителя возразили и указали, что заказчик неправомерно обосновывает применение дополнительных характеристик товара тем, что товар в соответствии с характеристиками, включенными в позицию КТРУ, не будет отвечать его потребностям. Так, практика закупок показывает, что и при использовании исключительно позиции КТРУ возможно приобретение высокотехнологичного оборудования для оказания качественной медицинской помощи. Например, при проведении аукциона (извещение № 0155200000923000065) описание объекта закупки состояло из характеристик, включенных в позицию КТРУ 26.70.22.150-00000077, приобретен в итоге микроскоп операционный серии ОРМ1 модель РеПего 800 с принадлежностями (производитель «Карл Цейсс Медитек</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АГ», Германия).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Комиссия Челябинского УФАС России обращает внимание заказчика на следующее.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Код ОКПД2 26.70.22.150, применяемый заказчиком при описании объекта закупки, находит отражение в позиции КТРУ 26.70.22.150-00000080, включающей в себя также позиции 26.70.22.150-00000077, 26.70.22.150-00000078, 26.70.22.150-00000079.</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силу пункта 7 Правил использования каталога в случае осуществления закупки товара, работы, услуги, </w:t>
      </w:r>
      <w:r>
        <w:rPr>
          <w:b/>
          <w:bCs/>
          <w:color w:val="000000"/>
          <w:spacing w:val="0"/>
          <w:w w:val="100"/>
          <w:position w:val="0"/>
          <w:shd w:val="clear" w:color="auto" w:fill="auto"/>
          <w:lang w:val="ru-RU" w:eastAsia="ru-RU" w:bidi="ru-RU"/>
        </w:rPr>
        <w:t>в отношении которых в каталоге отсутствуют соответствующие позиции</w:t>
      </w:r>
      <w:r>
        <w:rPr>
          <w:color w:val="000000"/>
          <w:spacing w:val="0"/>
          <w:w w:val="100"/>
          <w:position w:val="0"/>
          <w:shd w:val="clear" w:color="auto" w:fill="auto"/>
          <w:lang w:val="ru-RU" w:eastAsia="ru-RU" w:bidi="ru-RU"/>
        </w:rPr>
        <w:t>, заказчик осуществляет описание товара, работы, услуги в соответствии с требованиями статьи 33 Федерального закона.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 смыслу пункта 7 Правил использования каталога его применение обусловлено отсутствием в каталоге кода закупаемого товара как такового. Иное толкование по своей сути исключит целесообразность классификации товаров в принципе, поскольку предметом каждой закупки выступает конкретный товар (работа, услуга), обусловленная потребностями заказчика, тогда как классифицирование призвано унифицировать ее характеристики и предъявляемые требования с целью рационализации как процедуры закупок в целом, так и обеспечения доступа к таковой максимального количества потенциальных претендентов и обеспечить конкурентные условия ее проведения (Постановление Семнадцатого арбитражного апелляционного суда № 17АП-13829/2022- АК от 07.12.2022 по делу № А60-25355/2022).</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отсутствие необходимой заказчику характеристики в позиции КТРУ, соответствующей объекту закупки, не может рассматривать в качестве законного основания для неисполнения требований Постановления Правительства РФ от 08.02.2017 № 145.</w:t>
      </w:r>
    </w:p>
    <w:p>
      <w:pPr>
        <w:pStyle w:val="Style15"/>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С учетом изложенного, заказчиком в нарушение пункта 4 Правил использования каталога не применена позиция КТРУ, соответствующая объекту закупки, и в нарушение подпункта «а» пункта 5 Правил использования каталога не соблюден запрет на включение в описание объекта закупки дополнительных характеристик закупаемого товара, отсутствующих в соответствующей позиции КТРУ.</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 Как следует из содержания жалобы, при формировании описания объекта закупки заказчиком установлены требования, которые в совокупности отвечают единственному товару одного производителя - Микроскоп операционный Тгуа1ю 700 производства «Карл Цейсс Медитек АГ» (2022/16918 от 15.04.2022). Установленные характеристики не позволяют предложить качественные аналоги иных производителей.</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качестве подтверждения своего довода заявитель представил в содержании жалобы сравнительную таблицу характеристик моделей операционных микроскопов трех производителей, а именно: Микроскоп операционный ^е^са Р^ОV^^о и ^е^са М530 производства ^е^са Мюго8у81ет§, Ш-К 1000 производства Наад 81гег1 (М0ЕЕЕ1К-\\'Е[)ЕЕ'), М1ТАКА ММ908ОН, производства Митака Кокки Ко., Лтд.</w:t>
      </w:r>
    </w:p>
    <w:p>
      <w:pPr>
        <w:pStyle w:val="Style15"/>
        <w:keepNext w:val="0"/>
        <w:keepLines w:val="0"/>
        <w:widowControl w:val="0"/>
        <w:shd w:val="clear" w:color="auto" w:fill="auto"/>
        <w:tabs>
          <w:tab w:pos="2491" w:val="left"/>
          <w:tab w:pos="3965" w:val="left"/>
          <w:tab w:pos="6586" w:val="left"/>
          <w:tab w:pos="913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Заказчик в письменных пояснениях указал, что в ответ на запрос о соответствии технических характеристик, соответствующих потребности, заказчиком получены коммерческие предложения от официальных дистрибьютеров медицинского оборудования, а именно: </w:t>
      </w:r>
      <w:r>
        <w:rPr>
          <w:b/>
          <w:bCs/>
          <w:color w:val="000000"/>
          <w:spacing w:val="0"/>
          <w:w w:val="100"/>
          <w:position w:val="0"/>
          <w:shd w:val="clear" w:color="auto" w:fill="auto"/>
          <w:lang w:val="ru-RU" w:eastAsia="ru-RU" w:bidi="ru-RU"/>
        </w:rPr>
        <w:t>ООО «Первая медицинская компания» от 31.03.2023 о соответствии технических характеристик Микроскопу операционному ^е^са 530 ОНХ, (Ьека Мюго8у81ет8</w:t>
        <w:tab/>
        <w:t>АС,</w:t>
        <w:tab/>
        <w:t>Швейцария)</w:t>
      </w:r>
      <w:r>
        <w:rPr>
          <w:color w:val="000000"/>
          <w:spacing w:val="0"/>
          <w:w w:val="100"/>
          <w:position w:val="0"/>
          <w:shd w:val="clear" w:color="auto" w:fill="auto"/>
          <w:lang w:val="ru-RU" w:eastAsia="ru-RU" w:bidi="ru-RU"/>
        </w:rPr>
        <w:t>,</w:t>
        <w:tab/>
        <w:t>производства</w:t>
        <w:tab/>
        <w:t>Сингапур</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w:t>
      </w:r>
      <w:r>
        <w:fldChar w:fldCharType="begin"/>
      </w:r>
      <w:r>
        <w:rPr/>
        <w:instrText> HYPERLINK "https://permedcom.ru/brands/filter/letter-is-l/" </w:instrText>
      </w:r>
      <w:r>
        <w:fldChar w:fldCharType="separate"/>
      </w:r>
      <w:r>
        <w:rPr>
          <w:color w:val="000080"/>
          <w:spacing w:val="0"/>
          <w:w w:val="100"/>
          <w:position w:val="0"/>
          <w:u w:val="single"/>
          <w:shd w:val="clear" w:color="auto" w:fill="auto"/>
          <w:lang w:val="ru-RU" w:eastAsia="ru-RU" w:bidi="ru-RU"/>
        </w:rPr>
        <w:t>Ы1р8://регте4сот.ш/Ъгап48/Ш1ег/1е1:1ег48-1/</w:t>
      </w:r>
      <w:r>
        <w:fldChar w:fldCharType="end"/>
      </w:r>
      <w:r>
        <w:rPr>
          <w:color w:val="000000"/>
          <w:spacing w:val="0"/>
          <w:w w:val="100"/>
          <w:position w:val="0"/>
          <w:shd w:val="clear" w:color="auto" w:fill="auto"/>
          <w:lang w:val="ru-RU" w:eastAsia="ru-RU" w:bidi="ru-RU"/>
        </w:rPr>
        <w:t>), а также ООО «Карл Цейсс» от 31.03.2023 о соответствии технических характеристик микроскопа операционного ТГУДТО 700 (</w:t>
      </w:r>
      <w:r>
        <w:fldChar w:fldCharType="begin"/>
      </w:r>
      <w:r>
        <w:rPr/>
        <w:instrText> HYPERLINK "https://zeiss-solutions.ru/" </w:instrText>
      </w:r>
      <w:r>
        <w:fldChar w:fldCharType="separate"/>
      </w:r>
      <w:r>
        <w:rPr>
          <w:color w:val="000080"/>
          <w:spacing w:val="0"/>
          <w:w w:val="100"/>
          <w:position w:val="0"/>
          <w:shd w:val="clear" w:color="auto" w:fill="auto"/>
          <w:lang w:val="ru-RU" w:eastAsia="ru-RU" w:bidi="ru-RU"/>
        </w:rPr>
        <w:t>Ы1р8://2е188-8о1и1:юп8ли/</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Кроме того, представитель заказчика отметил, что заявителем в материалы дела не представлены документы, подтверждающие соответствие требованиям описания объекта закупки исключительно оборудования одного производителя и документы, подтверждающие достоверность информации в представленной таблице.</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 этом заказчиком при анализе данных представленных заявителем в таблице выявлены недостоверные данные на Микроскоп операционный 1,счса 530 ОНХ, а именно:</w:t>
      </w:r>
    </w:p>
    <w:p>
      <w:pPr>
        <w:pStyle w:val="Style15"/>
        <w:keepNext w:val="0"/>
        <w:keepLines w:val="0"/>
        <w:widowControl w:val="0"/>
        <w:numPr>
          <w:ilvl w:val="0"/>
          <w:numId w:val="15"/>
        </w:numPr>
        <w:shd w:val="clear" w:color="auto" w:fill="auto"/>
        <w:tabs>
          <w:tab w:pos="78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 3.1.3 Максимальный диапазон угла наклона тубуса хирурга (руководство по эксплуатации с официального сайта Росздравнадзор - Приложение №6, стр. 6 - показатель 180)</w:t>
      </w:r>
    </w:p>
    <w:p>
      <w:pPr>
        <w:pStyle w:val="Style15"/>
        <w:keepNext w:val="0"/>
        <w:keepLines w:val="0"/>
        <w:widowControl w:val="0"/>
        <w:numPr>
          <w:ilvl w:val="0"/>
          <w:numId w:val="15"/>
        </w:numPr>
        <w:shd w:val="clear" w:color="auto" w:fill="auto"/>
        <w:tabs>
          <w:tab w:pos="789"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 2.2.5 Сенсорная поворотная панель управления микроскопом (руководство по эксплуатации с официального сайта Росздравнадзор - Приложение №6, стр. 10 - Блок управления с сенсорной панелью)</w:t>
      </w:r>
    </w:p>
    <w:p>
      <w:pPr>
        <w:pStyle w:val="Style15"/>
        <w:keepNext w:val="0"/>
        <w:keepLines w:val="0"/>
        <w:widowControl w:val="0"/>
        <w:numPr>
          <w:ilvl w:val="0"/>
          <w:numId w:val="15"/>
        </w:numPr>
        <w:shd w:val="clear" w:color="auto" w:fill="auto"/>
        <w:tabs>
          <w:tab w:pos="779"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 2.3.3 Сенсорная панель управления микроскопом и функционалом видеосистемы (руководство по эксплуатации с официального сайта Росздравнадзор - Приложение №6, стр. 10 - Блоки управления камерой и видео (опция)).</w:t>
      </w:r>
    </w:p>
    <w:p>
      <w:pPr>
        <w:pStyle w:val="Style15"/>
        <w:keepNext w:val="0"/>
        <w:keepLines w:val="0"/>
        <w:widowControl w:val="0"/>
        <w:numPr>
          <w:ilvl w:val="0"/>
          <w:numId w:val="15"/>
        </w:numPr>
        <w:shd w:val="clear" w:color="auto" w:fill="auto"/>
        <w:tabs>
          <w:tab w:pos="1256" w:val="left"/>
          <w:tab w:pos="2269"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 2.3.7</w:t>
        <w:tab/>
        <w:t>Встроенный \\'1,Л\ адаптер с возможностью подключения к</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больничной сети для обмена данными, в том числе потоковыми (руководство по эксплуатации с официального сайта Росздравнадзор - Приложение №6, стр. 59 - Поддержка технологии ХУП'г что по своей сути является идентичным показателем.</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По оспариваемым пунктам 2.1.17 и 3.1.8 описания объекта закупки заказчик не нашел подтверждения факта несоответствия характеристик </w:t>
      </w:r>
      <w:r>
        <w:rPr>
          <w:b/>
          <w:bCs/>
          <w:color w:val="000000"/>
          <w:spacing w:val="0"/>
          <w:w w:val="100"/>
          <w:position w:val="0"/>
          <w:shd w:val="clear" w:color="auto" w:fill="auto"/>
          <w:lang w:val="ru-RU" w:eastAsia="ru-RU" w:bidi="ru-RU"/>
        </w:rPr>
        <w:t>в виду отсутствия данных параметров в руководстве по эксплуатации к данному оборудованию с официального сайта Росздравнадзор</w:t>
      </w:r>
      <w:r>
        <w:rPr>
          <w:color w:val="000000"/>
          <w:spacing w:val="0"/>
          <w:w w:val="100"/>
          <w:position w:val="0"/>
          <w:shd w:val="clear" w:color="auto" w:fill="auto"/>
          <w:lang w:val="ru-RU" w:eastAsia="ru-RU" w:bidi="ru-RU"/>
        </w:rPr>
        <w:t xml:space="preserve">. В связи с этим заказчик </w:t>
      </w:r>
      <w:r>
        <w:rPr>
          <w:b/>
          <w:bCs/>
          <w:color w:val="000000"/>
          <w:spacing w:val="0"/>
          <w:w w:val="100"/>
          <w:position w:val="0"/>
          <w:shd w:val="clear" w:color="auto" w:fill="auto"/>
          <w:lang w:val="ru-RU" w:eastAsia="ru-RU" w:bidi="ru-RU"/>
        </w:rPr>
        <w:t>не усомнился в достоверности подтверждения характеристик от официального дистрибьютера медицинского оборудования ^е^са</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tabs>
          <w:tab w:leader="underscore" w:pos="6043" w:val="left"/>
          <w:tab w:leader="underscore" w:pos="8208" w:val="left"/>
          <w:tab w:leader="underscore" w:pos="10181"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Представители заявителя на заседание Комиссии представили письмо ООО «РУМЭКС Медикал» от 28.04.2023, из содержания которого следует, что техническими характеристиками, которые не позволяют предложить оборудование </w:t>
      </w:r>
      <w:r>
        <w:rPr>
          <w:color w:val="000000"/>
          <w:spacing w:val="0"/>
          <w:w w:val="100"/>
          <w:position w:val="0"/>
          <w:u w:val="single"/>
          <w:shd w:val="clear" w:color="auto" w:fill="auto"/>
          <w:lang w:val="ru-RU" w:eastAsia="ru-RU" w:bidi="ru-RU"/>
        </w:rPr>
        <w:t>производства Иека Мкго8у81:ет8, являются:</w:t>
      </w:r>
      <w:r>
        <w:rPr>
          <w:color w:val="000000"/>
          <w:spacing w:val="0"/>
          <w:w w:val="100"/>
          <w:position w:val="0"/>
          <w:shd w:val="clear" w:color="auto" w:fill="auto"/>
          <w:lang w:val="ru-RU" w:eastAsia="ru-RU" w:bidi="ru-RU"/>
        </w:rPr>
        <w:tab/>
        <w:tab/>
        <w:tab/>
      </w:r>
    </w:p>
    <w:tbl>
      <w:tblPr>
        <w:tblOverlap w:val="never"/>
        <w:jc w:val="center"/>
        <w:tblLayout w:type="fixed"/>
      </w:tblPr>
      <w:tblGrid>
        <w:gridCol w:w="763"/>
        <w:gridCol w:w="5304"/>
        <w:gridCol w:w="2165"/>
        <w:gridCol w:w="1978"/>
      </w:tblGrid>
      <w:tr>
        <w:trPr>
          <w:trHeight w:val="269"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2.1.16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Устройство автоматической балансировки</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Отсутствие</w:t>
            </w:r>
          </w:p>
        </w:tc>
      </w:tr>
      <w:tr>
        <w:trPr>
          <w:trHeight w:val="269"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2.1.17</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Система вакуумного зачехления</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Отсутствие</w:t>
            </w:r>
          </w:p>
        </w:tc>
      </w:tr>
      <w:tr>
        <w:trPr>
          <w:trHeight w:val="509"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2.2.5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Сенсорная поворотная панель управления микроскопом</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Не соответствие</w:t>
            </w:r>
          </w:p>
        </w:tc>
      </w:tr>
      <w:tr>
        <w:trPr>
          <w:trHeight w:val="605"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2.3.3</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187" w:lineRule="auto"/>
              <w:ind w:left="0" w:right="0" w:firstLine="0"/>
              <w:jc w:val="left"/>
              <w:rPr>
                <w:sz w:val="22"/>
                <w:szCs w:val="22"/>
              </w:rPr>
            </w:pPr>
            <w:r>
              <w:rPr>
                <w:color w:val="000000"/>
                <w:spacing w:val="0"/>
                <w:w w:val="100"/>
                <w:position w:val="0"/>
                <w:sz w:val="22"/>
                <w:szCs w:val="22"/>
                <w:shd w:val="clear" w:color="auto" w:fill="auto"/>
                <w:lang w:val="ru-RU" w:eastAsia="ru-RU" w:bidi="ru-RU"/>
              </w:rPr>
              <w:t>Сенсорная панель управления микроскопом и функционалом видеосистемы</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Не соответствие</w:t>
            </w:r>
          </w:p>
        </w:tc>
      </w:tr>
      <w:tr>
        <w:trPr>
          <w:trHeight w:val="259"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2.3.5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Видеовход для подключения эндоскопической камеры</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Отсутствие</w:t>
            </w:r>
          </w:p>
        </w:tc>
      </w:tr>
      <w:tr>
        <w:trPr>
          <w:trHeight w:val="1186"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2.3.7</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182" w:lineRule="auto"/>
              <w:ind w:left="0" w:right="0" w:firstLine="0"/>
              <w:jc w:val="left"/>
              <w:rPr>
                <w:sz w:val="22"/>
                <w:szCs w:val="22"/>
              </w:rPr>
            </w:pPr>
            <w:r>
              <w:rPr>
                <w:color w:val="000000"/>
                <w:spacing w:val="0"/>
                <w:w w:val="100"/>
                <w:position w:val="0"/>
                <w:sz w:val="22"/>
                <w:szCs w:val="22"/>
                <w:shd w:val="clear" w:color="auto" w:fill="auto"/>
                <w:lang w:val="ru-RU" w:eastAsia="ru-RU" w:bidi="ru-RU"/>
              </w:rPr>
              <w:t>Встроенный \V^■А^ адаптер с возможностью подключения к больничной сети для обмена данными, в том числе потоковыми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Отсутствие</w:t>
            </w:r>
          </w:p>
        </w:tc>
      </w:tr>
      <w:tr>
        <w:trPr>
          <w:trHeight w:val="403"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3.1.3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14"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диапазон угла наклона тубуса хирурга, град.</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менее 180</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150</w:t>
            </w:r>
          </w:p>
        </w:tc>
      </w:tr>
      <w:tr>
        <w:trPr>
          <w:trHeight w:val="259"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3.1.8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Увеличение микроскопа максимальное, крат</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менее 24</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21</w:t>
            </w:r>
          </w:p>
        </w:tc>
      </w:tr>
      <w:tr>
        <w:trPr>
          <w:trHeight w:val="264"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3.2.14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Транспортировочная высота, мм</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более 1945</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1975</w:t>
            </w:r>
          </w:p>
        </w:tc>
      </w:tr>
      <w:tr>
        <w:trPr>
          <w:trHeight w:val="427"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3.2.15</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182" w:lineRule="auto"/>
              <w:ind w:left="0" w:right="0" w:firstLine="0"/>
              <w:jc w:val="both"/>
              <w:rPr>
                <w:sz w:val="22"/>
                <w:szCs w:val="22"/>
              </w:rPr>
            </w:pPr>
            <w:r>
              <w:rPr>
                <w:color w:val="000000"/>
                <w:spacing w:val="0"/>
                <w:w w:val="100"/>
                <w:position w:val="0"/>
                <w:sz w:val="22"/>
                <w:szCs w:val="22"/>
                <w:shd w:val="clear" w:color="auto" w:fill="auto"/>
                <w:lang w:val="ru-RU" w:eastAsia="ru-RU" w:bidi="ru-RU"/>
              </w:rPr>
              <w:t>Максимальное расстояние от центральной оси основания штатива до центра объектива, мм</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менее 1600</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1487</w:t>
            </w:r>
          </w:p>
        </w:tc>
      </w:tr>
    </w:tbl>
    <w:p>
      <w:pPr>
        <w:pStyle w:val="Style3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Также представители заявителя возразили заказчику относительно недостоверности данных, представленных в жалобе относительно пунктов 3.1.3, 2.2.5, 2.3.3, 2.3.7 описания объекта закупки, и пояснили следующее:</w:t>
      </w:r>
    </w:p>
    <w:p>
      <w:pPr>
        <w:pStyle w:val="Style3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 3.1.3 - Стр. 64 Инструкции ^е^са Р^ОV^^о:</w:t>
      </w:r>
    </w:p>
    <w:p>
      <w:pPr>
        <w:widowControl w:val="0"/>
        <w:spacing w:line="1" w:lineRule="exact"/>
      </w:pPr>
      <w:r>
        <w:br w:type="page"/>
      </w:r>
    </w:p>
    <w:p>
      <w:pPr>
        <w:widowControl w:val="0"/>
        <w:jc w:val="center"/>
        <w:rPr>
          <w:sz w:val="2"/>
          <w:szCs w:val="2"/>
        </w:rPr>
      </w:pPr>
      <w:r>
        <w:drawing>
          <wp:inline>
            <wp:extent cx="5706110" cy="293243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pic:blipFill>
                  <pic:spPr>
                    <a:xfrm>
                      <a:ext cx="5706110" cy="2932430"/>
                    </a:xfrm>
                    <a:prstGeom prst="rect"/>
                  </pic:spPr>
                </pic:pic>
              </a:graphicData>
            </a:graphic>
          </wp:inline>
        </w:drawing>
      </w:r>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Р^ОV^^о для наблюдения хирургом предлагает на выбор либо тубус с максимальным углом 150 градусов наклонный, прямой или тубус с углом 45 градусов.</w:t>
      </w:r>
    </w:p>
    <w:p>
      <w:pPr>
        <w:widowControl w:val="0"/>
        <w:spacing w:line="1" w:lineRule="exact"/>
      </w:pPr>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То же и для М530 ОНХ, стр. 68 инструкции:</w:t>
      </w:r>
    </w:p>
    <w:p>
      <w:pPr>
        <w:widowControl w:val="0"/>
        <w:jc w:val="center"/>
        <w:rPr>
          <w:sz w:val="2"/>
          <w:szCs w:val="2"/>
        </w:rPr>
      </w:pPr>
      <w:r>
        <w:drawing>
          <wp:inline>
            <wp:extent cx="5614670" cy="295021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stretch/>
                  </pic:blipFill>
                  <pic:spPr>
                    <a:xfrm>
                      <a:ext cx="5614670" cy="2950210"/>
                    </a:xfrm>
                    <a:prstGeom prst="rect"/>
                  </pic:spPr>
                </pic:pic>
              </a:graphicData>
            </a:graphic>
          </wp:inline>
        </w:drawing>
      </w:r>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При этом упоминается, что установка тубуса с максимальным углом 180 градусов не</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рекомендуется.</w:t>
      </w:r>
    </w:p>
    <w:p>
      <w:pPr>
        <w:pStyle w:val="Style15"/>
        <w:keepNext w:val="0"/>
        <w:keepLines w:val="0"/>
        <w:widowControl w:val="0"/>
        <w:shd w:val="clear" w:color="auto" w:fill="auto"/>
        <w:bidi w:val="0"/>
        <w:spacing w:before="0" w:after="0" w:line="240" w:lineRule="auto"/>
        <w:ind w:left="0" w:right="0" w:firstLine="560"/>
        <w:jc w:val="left"/>
      </w:pPr>
      <w:r>
        <w:rPr>
          <w:color w:val="000000"/>
          <w:spacing w:val="0"/>
          <w:w w:val="100"/>
          <w:position w:val="0"/>
          <w:shd w:val="clear" w:color="auto" w:fill="auto"/>
          <w:lang w:val="ru-RU" w:eastAsia="ru-RU" w:bidi="ru-RU"/>
        </w:rPr>
        <w:t xml:space="preserve">п. 2.2.5Сенсорная панель не является поворотной, стр.10 для М530 ОНХ, п.4 на </w:t>
      </w:r>
      <w:r>
        <w:rPr>
          <w:color w:val="000000"/>
          <w:spacing w:val="0"/>
          <w:w w:val="100"/>
          <w:position w:val="0"/>
          <w:shd w:val="clear" w:color="auto" w:fill="auto"/>
          <w:lang w:val="ru-RU" w:eastAsia="ru-RU" w:bidi="ru-RU"/>
        </w:rPr>
        <w:t>рисунке.</w:t>
      </w:r>
      <w:r>
        <w:br w:type="page"/>
      </w:r>
    </w:p>
    <w:p>
      <w:pPr>
        <w:widowControl w:val="0"/>
        <w:jc w:val="center"/>
        <w:rPr>
          <w:sz w:val="2"/>
          <w:szCs w:val="2"/>
        </w:rPr>
      </w:pPr>
      <w:r>
        <w:drawing>
          <wp:inline>
            <wp:extent cx="5742305" cy="329819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stretch/>
                  </pic:blipFill>
                  <pic:spPr>
                    <a:xfrm>
                      <a:ext cx="5742305" cy="3298190"/>
                    </a:xfrm>
                    <a:prstGeom prst="rect"/>
                  </pic:spPr>
                </pic:pic>
              </a:graphicData>
            </a:graphic>
          </wp:inline>
        </w:drawing>
      </w:r>
    </w:p>
    <w:p>
      <w:pPr>
        <w:widowControl w:val="0"/>
        <w:spacing w:line="1" w:lineRule="exact"/>
      </w:pPr>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Стр. 13 для Р^ОV^^о:</w:t>
      </w:r>
    </w:p>
    <w:p>
      <w:pPr>
        <w:widowControl w:val="0"/>
        <w:jc w:val="center"/>
        <w:rPr>
          <w:sz w:val="2"/>
          <w:szCs w:val="2"/>
        </w:rPr>
      </w:pPr>
      <w:r>
        <w:drawing>
          <wp:inline>
            <wp:extent cx="5577840" cy="328549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stretch/>
                  </pic:blipFill>
                  <pic:spPr>
                    <a:xfrm>
                      <a:ext cx="5577840" cy="3285490"/>
                    </a:xfrm>
                    <a:prstGeom prst="rect"/>
                  </pic:spPr>
                </pic:pic>
              </a:graphicData>
            </a:graphic>
          </wp:inline>
        </w:drawing>
      </w:r>
    </w:p>
    <w:p>
      <w:pPr>
        <w:pStyle w:val="Style15"/>
        <w:keepNext w:val="0"/>
        <w:keepLines w:val="0"/>
        <w:widowControl w:val="0"/>
        <w:shd w:val="clear" w:color="auto" w:fill="auto"/>
        <w:bidi w:val="0"/>
        <w:spacing w:before="0" w:after="0" w:line="240" w:lineRule="auto"/>
        <w:ind w:left="0" w:right="0" w:firstLine="640"/>
        <w:jc w:val="left"/>
      </w:pPr>
      <w:r>
        <w:rPr>
          <w:color w:val="000000"/>
          <w:spacing w:val="0"/>
          <w:w w:val="100"/>
          <w:position w:val="0"/>
          <w:shd w:val="clear" w:color="auto" w:fill="auto"/>
          <w:lang w:val="ru-RU" w:eastAsia="ru-RU" w:bidi="ru-RU"/>
        </w:rPr>
        <w:t>п. 2.3.3Сенсорная панель управления микроскопом и функционалом видеосистемы.</w:t>
      </w:r>
    </w:p>
    <w:p>
      <w:pPr>
        <w:pStyle w:val="Style15"/>
        <w:keepNext w:val="0"/>
        <w:keepLines w:val="0"/>
        <w:widowControl w:val="0"/>
        <w:shd w:val="clear" w:color="auto" w:fill="auto"/>
        <w:bidi w:val="0"/>
        <w:spacing w:before="0" w:after="0" w:line="240" w:lineRule="auto"/>
        <w:ind w:left="0" w:right="0" w:firstLine="580"/>
        <w:jc w:val="left"/>
      </w:pPr>
      <w:r>
        <w:rPr>
          <w:color w:val="000000"/>
          <w:spacing w:val="0"/>
          <w:w w:val="100"/>
          <w:position w:val="0"/>
          <w:shd w:val="clear" w:color="auto" w:fill="auto"/>
          <w:lang w:val="ru-RU" w:eastAsia="ru-RU" w:bidi="ru-RU"/>
        </w:rPr>
        <w:t>Согласно разделу о сенсорной панели, данная система позволяет управлять функциями микроскопа, управление видеосистемой осуществляется отдельно.</w:t>
      </w:r>
      <w:r>
        <w:br w:type="page"/>
      </w:r>
    </w:p>
    <w:p>
      <w:pPr>
        <w:widowControl w:val="0"/>
        <w:spacing w:line="1" w:lineRule="exact"/>
      </w:pPr>
      <w:r>
        <w:drawing>
          <wp:anchor distT="0" distB="0" distL="0" distR="0" simplePos="0" relativeHeight="125829378" behindDoc="0" locked="0" layoutInCell="1" allowOverlap="1">
            <wp:simplePos x="0" y="0"/>
            <wp:positionH relativeFrom="page">
              <wp:posOffset>1163320</wp:posOffset>
            </wp:positionH>
            <wp:positionV relativeFrom="paragraph">
              <wp:posOffset>0</wp:posOffset>
            </wp:positionV>
            <wp:extent cx="5852160" cy="309054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9"/>
                    <a:stretch/>
                  </pic:blipFill>
                  <pic:spPr>
                    <a:xfrm>
                      <a:ext cx="5852160" cy="309054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580"/>
        <w:jc w:val="left"/>
      </w:pPr>
      <w:r>
        <w:rPr>
          <w:color w:val="000000"/>
          <w:spacing w:val="0"/>
          <w:w w:val="100"/>
          <w:position w:val="0"/>
          <w:shd w:val="clear" w:color="auto" w:fill="auto"/>
          <w:lang w:val="ru-RU" w:eastAsia="ru-RU" w:bidi="ru-RU"/>
        </w:rPr>
        <w:t>п. 2.3.7 отсутствие в инструкциях упоминания встроенного \У1,Л\ адаптера.</w:t>
      </w:r>
    </w:p>
    <w:p>
      <w:pPr>
        <w:pStyle w:val="Style15"/>
        <w:keepNext w:val="0"/>
        <w:keepLines w:val="0"/>
        <w:widowControl w:val="0"/>
        <w:shd w:val="clear" w:color="auto" w:fill="auto"/>
        <w:tabs>
          <w:tab w:leader="underscore" w:pos="1018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Заказчиком в материалы дела приобщены дополнительные пояснения, в которых проанализированы данные, представленные в письме ООО «РУМЭКС Медикал» от 28.04.2023. Так, заказчик настаивает на недостоверности сведений, предоставленных заявителем, относительно характеристик по позициям 2.1.16, 2.1.17, 2.2.5, 2.3.5, 2.3.7, 3.1.3, </w:t>
      </w:r>
      <w:r>
        <w:rPr>
          <w:color w:val="000000"/>
          <w:spacing w:val="0"/>
          <w:w w:val="100"/>
          <w:position w:val="0"/>
          <w:u w:val="single"/>
          <w:shd w:val="clear" w:color="auto" w:fill="auto"/>
          <w:lang w:val="ru-RU" w:eastAsia="ru-RU" w:bidi="ru-RU"/>
        </w:rPr>
        <w:t>3.1.8, 3.2.14, 3.2.15 описания объекта закупки:</w:t>
      </w:r>
      <w:r>
        <w:rPr>
          <w:color w:val="000000"/>
          <w:spacing w:val="0"/>
          <w:w w:val="100"/>
          <w:position w:val="0"/>
          <w:shd w:val="clear" w:color="auto" w:fill="auto"/>
          <w:lang w:val="ru-RU" w:eastAsia="ru-RU" w:bidi="ru-RU"/>
        </w:rPr>
        <w:tab/>
      </w:r>
    </w:p>
    <w:tbl>
      <w:tblPr>
        <w:tblOverlap w:val="never"/>
        <w:jc w:val="center"/>
        <w:tblLayout w:type="fixed"/>
      </w:tblPr>
      <w:tblGrid>
        <w:gridCol w:w="970"/>
        <w:gridCol w:w="2016"/>
        <w:gridCol w:w="1498"/>
        <w:gridCol w:w="5726"/>
      </w:tblGrid>
      <w:tr>
        <w:trPr>
          <w:trHeight w:val="778"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2.1.16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Устройство автоматической балансировки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Стр. 16 (руководство по эксплуатации с официального сайта Росздравнадзор)</w:t>
            </w:r>
          </w:p>
        </w:tc>
      </w:tr>
      <w:tr>
        <w:trPr>
          <w:trHeight w:val="773"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2.1.17</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Система вакуумного зачехления</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Отсутствуют подтверждения факта несоответствия характеристик</w:t>
            </w:r>
          </w:p>
        </w:tc>
      </w:tr>
      <w:tr>
        <w:trPr>
          <w:trHeight w:val="1018"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2.2.5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Сенсорная поворотная панель управления микроскопом</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Стр. 10 (руководство по эксплуатации с официального сайта Росздравнадзор), есть указание, что сенсорная панель есть, но не указано какая - поворотная или нет.</w:t>
            </w:r>
          </w:p>
        </w:tc>
      </w:tr>
      <w:tr>
        <w:trPr>
          <w:trHeight w:val="3552"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2.3.5</w:t>
            </w:r>
          </w:p>
        </w:tc>
        <w:tc>
          <w:tcPr>
            <w:tcBorders>
              <w:top w:val="single" w:sz="4"/>
              <w:left w:val="single" w:sz="4"/>
            </w:tcBorders>
            <w:shd w:val="clear" w:color="auto" w:fill="auto"/>
            <w:vAlign w:val="top"/>
          </w:tcPr>
          <w:p>
            <w:pPr>
              <w:pStyle w:val="Style24"/>
              <w:keepNext w:val="0"/>
              <w:keepLines w:val="0"/>
              <w:widowControl w:val="0"/>
              <w:shd w:val="clear" w:color="auto" w:fill="auto"/>
              <w:tabs>
                <w:tab w:pos="1560"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Видеовход</w:t>
              <w:tab/>
              <w:t>для</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подключения эндоскопической камеры</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В регистрационном удостоверении РЗН 2021/15685 в п. 21. Кабель ХОА - 3 шт. (при необходимости) - указан в комплектации специальный кабель для этих целей.</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ЬАХ для соединения с ^^сот*</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и§В1/2 например, для обновлений</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ЛОТ. дополнительная функция</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ХОА т для соединения с внешним источником видеосигнала **</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С’ЛХ для соединения с устройствами С’ЛХ **</w:t>
            </w:r>
          </w:p>
          <w:p>
            <w:pPr>
              <w:pStyle w:val="Style24"/>
              <w:keepNext w:val="0"/>
              <w:keepLines w:val="0"/>
              <w:widowControl w:val="0"/>
              <w:numPr>
                <w:ilvl w:val="0"/>
                <w:numId w:val="17"/>
              </w:numPr>
              <w:shd w:val="clear" w:color="auto" w:fill="auto"/>
              <w:tabs>
                <w:tab w:pos="139"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VI ои! для соединения с внешним монитором</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Уйео ои! для соединения с внешним монитором</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ХЛУ для соединения с системой навигации</w:t>
            </w:r>
          </w:p>
          <w:p>
            <w:pPr>
              <w:pStyle w:val="Style24"/>
              <w:keepNext w:val="0"/>
              <w:keepLines w:val="0"/>
              <w:widowControl w:val="0"/>
              <w:numPr>
                <w:ilvl w:val="0"/>
                <w:numId w:val="17"/>
              </w:numPr>
              <w:shd w:val="clear" w:color="auto" w:fill="auto"/>
              <w:tabs>
                <w:tab w:pos="139"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Может не использоваться во время операции</w:t>
            </w:r>
          </w:p>
          <w:p>
            <w:pPr>
              <w:pStyle w:val="Style24"/>
              <w:keepNext w:val="0"/>
              <w:keepLines w:val="0"/>
              <w:widowControl w:val="0"/>
              <w:numPr>
                <w:ilvl w:val="0"/>
                <w:numId w:val="17"/>
              </w:numPr>
              <w:shd w:val="clear" w:color="auto" w:fill="auto"/>
              <w:tabs>
                <w:tab w:pos="139" w:val="left"/>
              </w:tabs>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 Только для подключения медицинского оборудования</w:t>
            </w:r>
          </w:p>
        </w:tc>
      </w:tr>
      <w:tr>
        <w:trPr>
          <w:trHeight w:val="1810"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2.3.7</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tabs>
                <w:tab w:pos="1786"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Встроенный \УЬАХ адаптер</w:t>
              <w:tab/>
              <w:t>с</w:t>
            </w:r>
          </w:p>
          <w:p>
            <w:pPr>
              <w:pStyle w:val="Style24"/>
              <w:keepNext w:val="0"/>
              <w:keepLines w:val="0"/>
              <w:widowControl w:val="0"/>
              <w:shd w:val="clear" w:color="auto" w:fill="auto"/>
              <w:tabs>
                <w:tab w:pos="1776"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возможностью подключения</w:t>
              <w:tab/>
              <w:t>к</w:t>
            </w:r>
          </w:p>
          <w:p>
            <w:pPr>
              <w:pStyle w:val="Style24"/>
              <w:keepNext w:val="0"/>
              <w:keepLines w:val="0"/>
              <w:widowControl w:val="0"/>
              <w:shd w:val="clear" w:color="auto" w:fill="auto"/>
              <w:tabs>
                <w:tab w:pos="1219"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больничной сети для</w:t>
              <w:tab/>
              <w:t>обмена</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данными, в том</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 xml:space="preserve">стр. 59 (руководство по эксплуатации с официального сайта Росздравнадзор), </w:t>
            </w:r>
            <w:r>
              <w:rPr>
                <w:b/>
                <w:bCs/>
                <w:color w:val="000000"/>
                <w:spacing w:val="0"/>
                <w:w w:val="100"/>
                <w:position w:val="0"/>
                <w:sz w:val="22"/>
                <w:szCs w:val="22"/>
                <w:shd w:val="clear" w:color="auto" w:fill="auto"/>
                <w:lang w:val="ru-RU" w:eastAsia="ru-RU" w:bidi="ru-RU"/>
              </w:rPr>
              <w:t>поддержка технологии ^УвЕ1</w:t>
            </w:r>
          </w:p>
        </w:tc>
      </w:tr>
    </w:tbl>
    <w:p>
      <w:pPr>
        <w:widowControl w:val="0"/>
        <w:spacing w:line="1" w:lineRule="exact"/>
      </w:pPr>
    </w:p>
    <w:tbl>
      <w:tblPr>
        <w:tblOverlap w:val="never"/>
        <w:jc w:val="center"/>
        <w:tblLayout w:type="fixed"/>
      </w:tblPr>
      <w:tblGrid>
        <w:gridCol w:w="970"/>
        <w:gridCol w:w="2016"/>
        <w:gridCol w:w="1498"/>
        <w:gridCol w:w="5726"/>
      </w:tblGrid>
      <w:tr>
        <w:trPr>
          <w:trHeight w:val="26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числе потоковыми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330"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3.1.3</w:t>
            </w:r>
          </w:p>
        </w:tc>
        <w:tc>
          <w:tcPr>
            <w:tcBorders>
              <w:top w:val="single" w:sz="4"/>
              <w:left w:val="single" w:sz="4"/>
            </w:tcBorders>
            <w:shd w:val="clear" w:color="auto" w:fill="auto"/>
            <w:vAlign w:val="top"/>
          </w:tcPr>
          <w:p>
            <w:pPr>
              <w:pStyle w:val="Style24"/>
              <w:keepNext w:val="0"/>
              <w:keepLines w:val="0"/>
              <w:widowControl w:val="0"/>
              <w:shd w:val="clear" w:color="auto" w:fill="auto"/>
              <w:tabs>
                <w:tab w:pos="1589"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диапазон</w:t>
              <w:tab/>
              <w:t>угла</w:t>
            </w:r>
          </w:p>
          <w:p>
            <w:pPr>
              <w:pStyle w:val="Style24"/>
              <w:keepNext w:val="0"/>
              <w:keepLines w:val="0"/>
              <w:widowControl w:val="0"/>
              <w:shd w:val="clear" w:color="auto" w:fill="auto"/>
              <w:tabs>
                <w:tab w:pos="1339"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наклона</w:t>
              <w:tab/>
              <w:t>тубуса</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хирурга. град.</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менее</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180</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В регистрационном удостоверении РЗН 2021/15685 п. 9. Тубус бинокулярный с изменяемым углом наклона 0°-180° (при необходимости)</w:t>
            </w:r>
          </w:p>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Стр. 13. рис.7 (руководство по эксплуатации с официального сайта Росздравнадзор)</w:t>
            </w:r>
          </w:p>
        </w:tc>
      </w:tr>
      <w:tr>
        <w:trPr>
          <w:trHeight w:val="768"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3.1.8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Увеличение микроскопа максимальное. крат</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менее 24</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Отсутствуют подтверждения факта несоответствия характеристик</w:t>
            </w:r>
          </w:p>
        </w:tc>
      </w:tr>
      <w:tr>
        <w:trPr>
          <w:trHeight w:val="514"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3.2.14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Транспортировочна я высота. мм</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более</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1945</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стр. 11. рис. 5 (руководство по эксплуатации с официального сайта Росздравнадзор)</w:t>
            </w:r>
          </w:p>
        </w:tc>
      </w:tr>
      <w:tr>
        <w:trPr>
          <w:trHeight w:val="1541"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3.2.15</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tabs>
                <w:tab w:pos="1685"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Максимальное расстояние</w:t>
              <w:tab/>
              <w:t>от</w:t>
            </w:r>
          </w:p>
          <w:p>
            <w:pPr>
              <w:pStyle w:val="Style24"/>
              <w:keepNext w:val="0"/>
              <w:keepLines w:val="0"/>
              <w:widowControl w:val="0"/>
              <w:shd w:val="clear" w:color="auto" w:fill="auto"/>
              <w:tabs>
                <w:tab w:pos="1248"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центральной оси основания штатива до</w:t>
              <w:tab/>
              <w:t>центра</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объектива. мм</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 менее</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1600</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стр. 11. рис.5 (руководство по эксплуатации с официального сайта Росздравнадзор)</w:t>
            </w:r>
          </w:p>
        </w:tc>
      </w:tr>
    </w:tbl>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к дополнительным пояснениям заказчиком приложены регистрационное удостоверение на медицинское изделие Микроскоп операционный нейрохирургический ^е^са в вариантах исполнения ^е^са М530 ОНХ ОЬО^, Агуео (от 29.10.2021 № РЗН 2021/15685) и руководство по эксплуатации Микроскоп операционный нейрохирургический ^е^са в вариантах исполнения ^е^са М530 ОНХ СИ.ОХУ. Агуео.</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Представители заявителя на заседании обратили внимание Комиссии. что Микроскоп операционный нейрохирургический Агуео в настоящее время не производится. что подтверждается сведениями. размещенными на сайте производителя (</w:t>
      </w:r>
      <w:r>
        <w:fldChar w:fldCharType="begin"/>
      </w:r>
      <w:r>
        <w:rPr/>
        <w:instrText> HYPERLINK "https://www.leica-microsystems.com/products/surgical-microscopes/p/arveo/" </w:instrText>
      </w:r>
      <w:r>
        <w:fldChar w:fldCharType="separate"/>
      </w:r>
      <w:r>
        <w:rPr>
          <w:color w:val="000080"/>
          <w:spacing w:val="0"/>
          <w:w w:val="100"/>
          <w:position w:val="0"/>
          <w:u w:val="single"/>
          <w:shd w:val="clear" w:color="auto" w:fill="auto"/>
          <w:lang w:val="ru-RU" w:eastAsia="ru-RU" w:bidi="ru-RU"/>
        </w:rPr>
        <w:t>1шр8://\у\у\у. 1е1са-</w:t>
      </w:r>
      <w:r>
        <w:fldChar w:fldCharType="end"/>
      </w:r>
      <w:r>
        <w:rPr>
          <w:color w:val="000080"/>
          <w:spacing w:val="0"/>
          <w:w w:val="100"/>
          <w:position w:val="0"/>
          <w:u w:val="single"/>
          <w:shd w:val="clear" w:color="auto" w:fill="auto"/>
          <w:lang w:val="ru-RU" w:eastAsia="ru-RU" w:bidi="ru-RU"/>
        </w:rPr>
        <w:t xml:space="preserve"> </w:t>
      </w:r>
      <w:r>
        <w:fldChar w:fldCharType="begin"/>
      </w:r>
      <w:r>
        <w:rPr/>
        <w:instrText> HYPERLINK "https://www.leica-microsystems.com/products/surgical-microscopes/p/arveo/" </w:instrText>
      </w:r>
      <w:r>
        <w:fldChar w:fldCharType="separate"/>
      </w:r>
      <w:r>
        <w:rPr>
          <w:color w:val="000080"/>
          <w:spacing w:val="0"/>
          <w:w w:val="100"/>
          <w:position w:val="0"/>
          <w:u w:val="single"/>
          <w:shd w:val="clear" w:color="auto" w:fill="auto"/>
          <w:lang w:val="ru-RU" w:eastAsia="ru-RU" w:bidi="ru-RU"/>
        </w:rPr>
        <w:t>т1С1'О8У81ет8.сот/р1'(х111с18/8111'д1са1-пис1'О8Соре8/р/а1'уеоЛ</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Челябинского УФАС России. проанализировав доводы заявителя. пояснения заказчика. а также сведения и документы. представленные сторонами в материалы дела и опубликованные на сайте Росздравнадзора. пришла к следующим выводам.</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Возражения заказчика относительно того. что заявителем не представлены документы в качестве обоснования довода о соответствии требованиям описания объекта закупки исключительно оборудования одного производителя и документы. подтверждающие достоверность информации в сравнительной таблице. не принимаются Комиссией. поскольку указанные документы представлены заявителем при подаче жалобы путем размещения на Яндекс Диске по ссылке:</w:t>
      </w:r>
      <w:r>
        <w:fldChar w:fldCharType="begin"/>
      </w:r>
      <w:r>
        <w:rPr/>
        <w:instrText> HYPERLINK "https://disk.yandex.ru/d/HXLMgekW-MdVAw"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1Шр8://с118к.уапс1е\.1Т1/с1/11Х1Л1декА-\к1\А\у</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материалах дела не находят своего подтверждения пояснения заказчика о том. что ООО «Первая медицинская компания». представившая коммерческое предложение от 31.03.2023. является официальным дистрибьютером медицинского оборудования ^е^са. Напротив. согласно сведениям. размещенным на сайте Росздравнадзора. ООО «РУМЭКС Медикал» является уполномоченным представителем производителя («Лейка Микросистемс (Швейц) АГ») медицинского изделия. В связи с чем у антимонопольного органа отсутствуют основания не принимать во внимание сведения. представленные в письме ООО «РУМЭКС Медикал» от 28.04.2023. о несоответствии оборудования производства ^е^са М1сго8У81ет8 совокупности характеристик. указанных заказчиком при описании объекта закупки.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Кроме того. Комиссия Челябинского УФАС Россия отмечает. что письмо ООО «Первая медицинская компания». которым заказчик опровергает довод заявителя о соответствии описанию объекта закупки товара единственного производителя. содержит коммерческое предложение на поставку медицинского оборудования «Микроскоп операционный ^е^са 530 ОНХ. (Ъеюа М1сго8У81ст8 АО. Швейцария)». При этом на сайте Росздравнадзора имеются сведения о медицинском изделии: Микроскоп операционный ^е^са М530 ОНХ (от </w:t>
      </w:r>
      <w:r>
        <w:rPr>
          <w:color w:val="000000"/>
          <w:spacing w:val="0"/>
          <w:w w:val="100"/>
          <w:position w:val="0"/>
          <w:shd w:val="clear" w:color="auto" w:fill="auto"/>
          <w:lang w:val="ru-RU" w:eastAsia="ru-RU" w:bidi="ru-RU"/>
        </w:rPr>
        <w:t>09.11.2018 № РЗН 2018/7787). Тогда как заказчик в дополнительных пояснениях представляет ссылки на руководство по эксплуатации и регистрационное удостоверение медицинского изделия Микроскоп операционный нейрохирургический Иека в вариантах исполнения ^е^са М530 ОНХ СИХЖ. Агуео (от 29.10.2021 № РЗН 2021/15685). Соответственно, неясно. какое именно медицинское изделие производства Иека Мкго8у§1:ет8. по мнению заказчика. соответствует описанию объекта закупки.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частью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1 статьи 38 Федерального закона от 21.11.2011 № 323-ФЗ «Об основах охраны здоровья граждан в Российской Федерации» (далее - Закон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и т.д.</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части 3 статьи 38 Закона об основах охраны здоровья граждан в Российской Федерации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Приказом Министерства здравоохранения Российской Федерации от 19.01.2017 № 11н утверждены требования к содержанию технической и эксплуатационной документации производителя (изготовителя) медицинского изделия (далее - Требования).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Исходя из содержания подпунктов 5. 6. 7 пункта 4 раздела II Требований. 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 за исключением программного обеспечения. являющегося медицинским изделием. в том числе программного обеспечения с применением технологий искусственного интеллекта (далее - программное обеспечение. являющееся медицинским изделием). должна содержать описание основных </w:t>
      </w:r>
      <w:r>
        <w:rPr>
          <w:color w:val="000000"/>
          <w:spacing w:val="0"/>
          <w:w w:val="100"/>
          <w:position w:val="0"/>
          <w:shd w:val="clear" w:color="auto" w:fill="auto"/>
          <w:lang w:val="ru-RU" w:eastAsia="ru-RU" w:bidi="ru-RU"/>
        </w:rPr>
        <w:t>функциональных элементов медицинского изделия, которое может сопровождаться схемами, фотографическими изображениями, рисунками, диаграммами и иными пояснениями; описание составных частей (узлов) медицинского изделия (при наличии); описание принадлежностей, медицинских изделий или изделий, не являющихся медицинскими, но предусмотренных для использования в комбинации с заявленным медицинским изделием (при наличии) и т.д.</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подпунктами 4, 6 пункта 6 раздела III Требований эксплуатационная документация производителя (изготовителя) на медицинское изделие (далее - эксплуатационная документация),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должна содержать функциональные характеристики и назначение медицинского изделия, технические характеристики медицинского изделия и т.д.</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антимонопольного органа, проанализировав документы на оборудование производства Иска М1сго8у81ст8, размещенные на сайте Росздравнадзора, не нашла в них подтверждение соответствия таким характеристикам описания объекта закупки, как, например, наличие системы вакуумного зачехления (пункт 2.1.17), наличие сенсорной поворотной панели управления микроскопом (пункт 2.2.5), наличие встроенного \\’1,Л\ адаптера с возможностью подключения к больничной сети для обмена данными, в том числе потоковыми (пункт 2.3.7), увеличение микроскопа максимальное не менее 24 крат (пункт 3.1.8).</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Комиссия обращает внимание заказчика, что отсутствие подтверждения факта несоответствия характеристик не доказывает наличие таких характеристик в оборудовании производства ^е^са Мюго8у81:ет8.</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заседание Комиссии заказчиком не представлены документы и сведения, подтверждающие, что совокупности установленных требований описания объекта закупки соответствуют товары иных производителей, помимо товара: Микроскоп операционный ТкаЮ 700 производства «Карл Цейсс Медитек АГ».</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Необходимо отметить, что на участие в закупке поступила единственная заявка с предложением о поставке медицинского изделия: Микроскоп операционный Тг«а!ю 700 с принадлежностями, производства «Карл Цейсс Медитек АГ», Германия.</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Учитывая изложенное, описание объекта закупки сформировано заказчиком в нарушение пункта 1 части 1 статьи 33, пункта 1 части 2 статьи 42 Закона о контрактной системе.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связи с допущенными нарушениями в действиях должностного лица усматриваются признаки состава административного правонарушения, предусмотренного главой 7 КоАП РФ.</w:t>
      </w:r>
    </w:p>
    <w:p>
      <w:pPr>
        <w:pStyle w:val="Style15"/>
        <w:keepNext w:val="0"/>
        <w:keepLines w:val="0"/>
        <w:widowControl w:val="0"/>
        <w:shd w:val="clear" w:color="auto" w:fill="auto"/>
        <w:bidi w:val="0"/>
        <w:spacing w:before="0" w:after="260" w:line="240" w:lineRule="auto"/>
        <w:ind w:left="0" w:right="0" w:firstLine="600"/>
        <w:jc w:val="both"/>
      </w:pPr>
      <w:r>
        <w:rPr>
          <w:i/>
          <w:iCs/>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w:t>
        <w:br w:type="page"/>
      </w:r>
      <w:r>
        <w:rPr>
          <w:i/>
          <w:iCs/>
          <w:color w:val="000000"/>
          <w:spacing w:val="0"/>
          <w:w w:val="100"/>
          <w:position w:val="0"/>
          <w:shd w:val="clear" w:color="auto" w:fill="auto"/>
          <w:lang w:val="ru-RU" w:eastAsia="ru-RU" w:bidi="ru-RU"/>
        </w:rPr>
        <w:t>поставщиков (подрядчиков, исполнителей) для обеспечения государственных и муниципальных нужд,</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19"/>
        </w:numPr>
        <w:shd w:val="clear" w:color="auto" w:fill="auto"/>
        <w:tabs>
          <w:tab w:pos="94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жалобу ООО «ЭР ОПТИКС» на положения извещения об осуществлении закупки № 248-2023 на поставку медицинского оборудования (Микроскоп хирургический) для Клиники ФГБОУ ВО ЮУГМУ Минздрава России (извещение № 0369100040223000272) обоснованной.</w:t>
      </w:r>
    </w:p>
    <w:p>
      <w:pPr>
        <w:pStyle w:val="Style15"/>
        <w:keepNext w:val="0"/>
        <w:keepLines w:val="0"/>
        <w:widowControl w:val="0"/>
        <w:numPr>
          <w:ilvl w:val="0"/>
          <w:numId w:val="19"/>
        </w:numPr>
        <w:shd w:val="clear" w:color="auto" w:fill="auto"/>
        <w:tabs>
          <w:tab w:pos="94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в действиях заказчика нарушение пункта 1 части 1 статьи 33, пункта 1 части 2 статьи 42 Закона о контрактной системе, пунктов 4, 5 Правил использования каталога.</w:t>
      </w:r>
    </w:p>
    <w:p>
      <w:pPr>
        <w:pStyle w:val="Style15"/>
        <w:keepNext w:val="0"/>
        <w:keepLines w:val="0"/>
        <w:widowControl w:val="0"/>
        <w:numPr>
          <w:ilvl w:val="0"/>
          <w:numId w:val="19"/>
        </w:numPr>
        <w:shd w:val="clear" w:color="auto" w:fill="auto"/>
        <w:tabs>
          <w:tab w:pos="94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Выдать заказчику, оператору электронной площадки, комиссии по осуществлению закупок предписание об устранении нарушений законодательства о контрактной системе.</w:t>
      </w:r>
    </w:p>
    <w:p>
      <w:pPr>
        <w:pStyle w:val="Style15"/>
        <w:keepNext w:val="0"/>
        <w:keepLines w:val="0"/>
        <w:widowControl w:val="0"/>
        <w:numPr>
          <w:ilvl w:val="0"/>
          <w:numId w:val="19"/>
        </w:numPr>
        <w:shd w:val="clear" w:color="auto" w:fill="auto"/>
        <w:tabs>
          <w:tab w:pos="94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Передать материалы дела должностному лицу Челябинского УФАС России для решения вопроса о привлечении виновных лиц к административной ответственности за нарушение законодательства о контрактной системе.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48" w:right="528" w:bottom="1226" w:left="1091" w:header="0" w:footer="3" w:gutter="0"/>
          <w:cols w:space="720"/>
          <w:noEndnote/>
          <w:rtlGutter w:val="0"/>
          <w:docGrid w:linePitch="360"/>
        </w:sectPr>
      </w:pPr>
      <w:r>
        <mc:AlternateContent>
          <mc:Choice Requires="wps">
            <w:drawing>
              <wp:anchor distT="114300" distB="356235" distL="0" distR="0" simplePos="0" relativeHeight="125829379" behindDoc="0" locked="0" layoutInCell="1" allowOverlap="1">
                <wp:simplePos x="0" y="0"/>
                <wp:positionH relativeFrom="page">
                  <wp:posOffset>739775</wp:posOffset>
                </wp:positionH>
                <wp:positionV relativeFrom="paragraph">
                  <wp:posOffset>114300</wp:posOffset>
                </wp:positionV>
                <wp:extent cx="1828800" cy="250190"/>
                <wp:wrapTopAndBottom/>
                <wp:docPr id="14" name="Shape 14"/>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0" type="#_x0000_t202" style="position:absolute;margin-left:58.25pt;margin-top:9.pt;width:144.pt;height:19.699999999999999pt;z-index:-125829374;mso-wrap-distance-left:0;mso-wrap-distance-top:9.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84150" distB="0" distL="0" distR="1789430" simplePos="0" relativeHeight="125829381" behindDoc="0" locked="0" layoutInCell="1" allowOverlap="1">
            <wp:simplePos x="0" y="0"/>
            <wp:positionH relativeFrom="page">
              <wp:posOffset>2660015</wp:posOffset>
            </wp:positionH>
            <wp:positionV relativeFrom="paragraph">
              <wp:posOffset>184150</wp:posOffset>
            </wp:positionV>
            <wp:extent cx="353695" cy="53657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3123565</wp:posOffset>
                </wp:positionH>
                <wp:positionV relativeFrom="paragraph">
                  <wp:posOffset>586740</wp:posOffset>
                </wp:positionV>
                <wp:extent cx="1283335" cy="103505"/>
                <wp:wrapNone/>
                <wp:docPr id="18" name="Shape 18"/>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color w:val="E8E8E8"/>
                                <w:spacing w:val="0"/>
                                <w:w w:val="100"/>
                                <w:position w:val="0"/>
                                <w:sz w:val="10"/>
                                <w:szCs w:val="10"/>
                                <w:shd w:val="clear" w:color="auto" w:fill="auto"/>
                                <w:lang w:val="ru-RU" w:eastAsia="ru-RU" w:bidi="ru-RU"/>
                              </w:rPr>
                              <w:t xml:space="preserve">СВЕДЕНИЯ О </w:t>
                            </w:r>
                            <w:r>
                              <w:rPr>
                                <w:rFonts w:ascii="Arial" w:eastAsia="Arial" w:hAnsi="Arial" w:cs="Arial"/>
                                <w:color w:val="FFFFFF"/>
                                <w:spacing w:val="0"/>
                                <w:w w:val="100"/>
                                <w:position w:val="0"/>
                                <w:sz w:val="10"/>
                                <w:szCs w:val="10"/>
                                <w:shd w:val="clear" w:color="auto" w:fill="auto"/>
                                <w:lang w:val="ru-RU" w:eastAsia="ru-RU" w:bidi="ru-RU"/>
                              </w:rPr>
                              <w:t xml:space="preserve">СЕРТИФИКАТЕ </w:t>
                            </w:r>
                            <w:r>
                              <w:rPr>
                                <w:rFonts w:ascii="Arial" w:eastAsia="Arial" w:hAnsi="Arial" w:cs="Arial"/>
                                <w:color w:val="E8E8E8"/>
                                <w:spacing w:val="0"/>
                                <w:w w:val="100"/>
                                <w:position w:val="0"/>
                                <w:sz w:val="10"/>
                                <w:szCs w:val="10"/>
                                <w:shd w:val="clear" w:color="auto" w:fill="auto"/>
                                <w:lang w:val="ru-RU" w:eastAsia="ru-RU" w:bidi="ru-RU"/>
                              </w:rPr>
                              <w:t>ЭП</w:t>
                            </w:r>
                          </w:p>
                        </w:txbxContent>
                      </wps:txbx>
                      <wps:bodyPr lIns="0" tIns="0" rIns="0" bIns="0">
                        <a:noAutoFit/>
                      </wps:bodyPr>
                    </wps:wsp>
                  </a:graphicData>
                </a:graphic>
              </wp:anchor>
            </w:drawing>
          </mc:Choice>
          <mc:Fallback>
            <w:pict>
              <v:shape id="_x0000_s1044" type="#_x0000_t202" style="position:absolute;margin-left:245.95000000000002pt;margin-top:46.200000000000003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color w:val="E8E8E8"/>
                          <w:spacing w:val="0"/>
                          <w:w w:val="100"/>
                          <w:position w:val="0"/>
                          <w:sz w:val="10"/>
                          <w:szCs w:val="10"/>
                          <w:shd w:val="clear" w:color="auto" w:fill="auto"/>
                          <w:lang w:val="ru-RU" w:eastAsia="ru-RU" w:bidi="ru-RU"/>
                        </w:rPr>
                        <w:t xml:space="preserve">СВЕДЕНИЯ О </w:t>
                      </w:r>
                      <w:r>
                        <w:rPr>
                          <w:rFonts w:ascii="Arial" w:eastAsia="Arial" w:hAnsi="Arial" w:cs="Arial"/>
                          <w:color w:val="FFFFFF"/>
                          <w:spacing w:val="0"/>
                          <w:w w:val="100"/>
                          <w:position w:val="0"/>
                          <w:sz w:val="10"/>
                          <w:szCs w:val="10"/>
                          <w:shd w:val="clear" w:color="auto" w:fill="auto"/>
                          <w:lang w:val="ru-RU" w:eastAsia="ru-RU" w:bidi="ru-RU"/>
                        </w:rPr>
                        <w:t xml:space="preserve">СЕРТИФИКАТЕ </w:t>
                      </w:r>
                      <w:r>
                        <w:rPr>
                          <w:rFonts w:ascii="Arial" w:eastAsia="Arial" w:hAnsi="Arial" w:cs="Arial"/>
                          <w:color w:val="E8E8E8"/>
                          <w:spacing w:val="0"/>
                          <w:w w:val="100"/>
                          <w:position w:val="0"/>
                          <w:sz w:val="10"/>
                          <w:szCs w:val="1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275590</wp:posOffset>
                </wp:positionV>
                <wp:extent cx="1725295" cy="255905"/>
                <wp:wrapNone/>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2.34999999999999pt;margin-top:21.699999999999999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356235" distL="0" distR="0" simplePos="0" relativeHeight="125829382" behindDoc="0" locked="0" layoutInCell="1" allowOverlap="1">
                <wp:simplePos x="0" y="0"/>
                <wp:positionH relativeFrom="page">
                  <wp:posOffset>6024880</wp:posOffset>
                </wp:positionH>
                <wp:positionV relativeFrom="paragraph">
                  <wp:posOffset>114300</wp:posOffset>
                </wp:positionV>
                <wp:extent cx="1167130" cy="250190"/>
                <wp:wrapTopAndBottom/>
                <wp:docPr id="22" name="Shape 22"/>
                <a:graphic xmlns:a="http://schemas.openxmlformats.org/drawingml/2006/main">
                  <a:graphicData uri="http://schemas.microsoft.com/office/word/2010/wordprocessingShape">
                    <wps:wsp>
                      <wps:cNvSpPr txBox="1"/>
                      <wps:spPr>
                        <a:xfrm>
                          <a:ext cx="116713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48" type="#_x0000_t202" style="position:absolute;margin-left:474.40000000000003pt;margin-top:9.pt;width:91.900000000000006pt;height:19.699999999999999pt;z-index:-125829371;mso-wrap-distance-left:0;mso-wrap-distance-top:9.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36"/>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Ливончик Влада Анатольевна</w:t>
      </w:r>
    </w:p>
    <w:p>
      <w:pPr>
        <w:pStyle w:val="Style36"/>
        <w:keepNext w:val="0"/>
        <w:keepLines w:val="0"/>
        <w:widowControl w:val="0"/>
        <w:shd w:val="clear" w:color="auto" w:fill="auto"/>
        <w:bidi w:val="0"/>
        <w:spacing w:before="0" w:after="0" w:line="240" w:lineRule="auto"/>
        <w:ind w:right="0" w:firstLine="0"/>
        <w:jc w:val="left"/>
      </w:pPr>
      <w:r>
        <w:rPr>
          <w:color w:val="41414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14141"/>
          <w:spacing w:val="0"/>
          <w:w w:val="100"/>
          <w:position w:val="0"/>
          <w:shd w:val="clear" w:color="auto" w:fill="auto"/>
          <w:lang w:val="ru-RU" w:eastAsia="ru-RU" w:bidi="ru-RU"/>
        </w:rPr>
        <w:t>008А08В8СССА507Е407686ВСА8А57008Е</w:t>
      </w:r>
    </w:p>
    <w:p>
      <w:pPr>
        <w:pStyle w:val="Style36"/>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41414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21.02.2023 </w:t>
      </w:r>
      <w:r>
        <w:rPr>
          <w:color w:val="41414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16.05.2024</w:t>
      </w:r>
    </w:p>
    <w:p>
      <w:pPr>
        <w:pStyle w:val="Style15"/>
        <w:keepNext w:val="0"/>
        <w:keepLines w:val="0"/>
        <w:widowControl w:val="0"/>
        <w:shd w:val="clear" w:color="auto" w:fill="auto"/>
        <w:bidi w:val="0"/>
        <w:spacing w:before="0" w:after="6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5"/>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3730" simplePos="0" relativeHeight="125829384" behindDoc="0" locked="0" layoutInCell="1" allowOverlap="1">
            <wp:simplePos x="0" y="0"/>
            <wp:positionH relativeFrom="page">
              <wp:posOffset>2647950</wp:posOffset>
            </wp:positionH>
            <wp:positionV relativeFrom="paragraph">
              <wp:posOffset>50800</wp:posOffset>
            </wp:positionV>
            <wp:extent cx="365760" cy="54864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3"/>
                    <a:stretch/>
                  </pic:blipFill>
                  <pic:spPr>
                    <a:xfrm>
                      <a:ext cx="365760" cy="5486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3123565</wp:posOffset>
                </wp:positionH>
                <wp:positionV relativeFrom="paragraph">
                  <wp:posOffset>462280</wp:posOffset>
                </wp:positionV>
                <wp:extent cx="1276985" cy="100330"/>
                <wp:wrapNone/>
                <wp:docPr id="26" name="Shape 26"/>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color w:val="E8E8E8"/>
                                <w:spacing w:val="0"/>
                                <w:w w:val="100"/>
                                <w:position w:val="0"/>
                                <w:sz w:val="10"/>
                                <w:szCs w:val="1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45.95000000000002pt;margin-top:36.399999999999999pt;width:100.55pt;height:7.90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0"/>
                          <w:szCs w:val="10"/>
                        </w:rPr>
                      </w:pPr>
                      <w:r>
                        <w:rPr>
                          <w:rFonts w:ascii="Arial" w:eastAsia="Arial" w:hAnsi="Arial" w:cs="Arial"/>
                          <w:color w:val="E8E8E8"/>
                          <w:spacing w:val="0"/>
                          <w:w w:val="100"/>
                          <w:position w:val="0"/>
                          <w:sz w:val="10"/>
                          <w:szCs w:val="1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3077845</wp:posOffset>
                </wp:positionH>
                <wp:positionV relativeFrom="paragraph">
                  <wp:posOffset>148590</wp:posOffset>
                </wp:positionV>
                <wp:extent cx="1725295" cy="259080"/>
                <wp:wrapNone/>
                <wp:docPr id="28" name="Shape 28"/>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42.34999999999999pt;margin-top:11.700000000000001pt;width:135.84999999999999pt;height:20.40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Е.Н. Сарсенбаева</w:t>
      </w:r>
    </w:p>
    <w:p>
      <w:pPr>
        <w:pStyle w:val="Style36"/>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Сарсенбаева Екатерина Николаевна</w:t>
      </w:r>
    </w:p>
    <w:p>
      <w:pPr>
        <w:pStyle w:val="Style36"/>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00ВА77ЕЕ376ВВЕ59С49Е61ЕЕ26В79А7В07</w:t>
      </w:r>
    </w:p>
    <w:p>
      <w:pPr>
        <w:pStyle w:val="Style36"/>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14.02.2023 </w:t>
      </w:r>
      <w:r>
        <w:rPr>
          <w:color w:val="25252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09.05.2024</w:t>
      </w:r>
    </w:p>
    <w:p>
      <w:pPr>
        <w:pStyle w:val="Style15"/>
        <w:keepNext w:val="0"/>
        <w:keepLines w:val="0"/>
        <w:widowControl w:val="0"/>
        <w:shd w:val="clear" w:color="auto" w:fill="auto"/>
        <w:bidi w:val="0"/>
        <w:spacing w:before="0" w:after="390" w:line="240" w:lineRule="auto"/>
        <w:ind w:left="0" w:right="0" w:firstLine="0"/>
        <w:jc w:val="center"/>
        <w:rPr>
          <w:sz w:val="28"/>
          <w:szCs w:val="28"/>
        </w:rPr>
      </w:pPr>
      <w:r>
        <w:drawing>
          <wp:anchor distT="0" distB="0" distL="114300" distR="1903730" simplePos="0" relativeHeight="125829385" behindDoc="0" locked="0" layoutInCell="1" allowOverlap="1">
            <wp:simplePos x="0" y="0"/>
            <wp:positionH relativeFrom="page">
              <wp:posOffset>2660015</wp:posOffset>
            </wp:positionH>
            <wp:positionV relativeFrom="paragraph">
              <wp:posOffset>63500</wp:posOffset>
            </wp:positionV>
            <wp:extent cx="353695" cy="40259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5"/>
                    <a:stretch/>
                  </pic:blipFill>
                  <pic:spPr>
                    <a:xfrm>
                      <a:ext cx="353695" cy="4025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3077845</wp:posOffset>
                </wp:positionH>
                <wp:positionV relativeFrom="paragraph">
                  <wp:posOffset>154940</wp:posOffset>
                </wp:positionV>
                <wp:extent cx="1725295" cy="255905"/>
                <wp:wrapNone/>
                <wp:docPr id="32" name="Shape 3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42.34999999999999pt;margin-top:12.200000000000001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Д.Ф. Гареева</w:t>
      </w:r>
    </w:p>
    <w:p>
      <w:pPr>
        <w:pStyle w:val="Style3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91" w:line="240" w:lineRule="auto"/>
        <w:ind w:left="0" w:right="0" w:firstLine="0"/>
        <w:jc w:val="center"/>
        <w:rPr>
          <w:sz w:val="10"/>
          <w:szCs w:val="10"/>
        </w:rPr>
      </w:pPr>
      <w:r>
        <w:rPr>
          <w:color w:val="E8E8E8"/>
          <w:spacing w:val="0"/>
          <w:w w:val="100"/>
          <w:position w:val="0"/>
          <w:sz w:val="10"/>
          <w:szCs w:val="10"/>
          <w:shd w:val="clear" w:color="auto" w:fill="auto"/>
          <w:lang w:val="ru-RU" w:eastAsia="ru-RU" w:bidi="ru-RU"/>
        </w:rPr>
        <w:t xml:space="preserve">СВЕДЕНИЯ О </w:t>
      </w:r>
      <w:r>
        <w:rPr>
          <w:color w:val="FFFFFF"/>
          <w:spacing w:val="0"/>
          <w:w w:val="100"/>
          <w:position w:val="0"/>
          <w:sz w:val="10"/>
          <w:szCs w:val="10"/>
          <w:shd w:val="clear" w:color="auto" w:fill="auto"/>
          <w:lang w:val="ru-RU" w:eastAsia="ru-RU" w:bidi="ru-RU"/>
        </w:rPr>
        <w:t xml:space="preserve">СЕРТИФИКАТЕ </w:t>
      </w:r>
      <w:r>
        <w:rPr>
          <w:color w:val="E8E8E8"/>
          <w:spacing w:val="0"/>
          <w:w w:val="100"/>
          <w:position w:val="0"/>
          <w:sz w:val="10"/>
          <w:szCs w:val="10"/>
          <w:shd w:val="clear" w:color="auto" w:fill="auto"/>
          <w:lang w:val="ru-RU" w:eastAsia="ru-RU" w:bidi="ru-RU"/>
        </w:rPr>
        <w:t>ЭП</w:t>
      </w:r>
    </w:p>
    <w:p>
      <w:pPr>
        <w:pStyle w:val="Style36"/>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Гареева Динара Флариковна</w:t>
      </w:r>
    </w:p>
    <w:p>
      <w:pPr>
        <w:pStyle w:val="Style36"/>
        <w:keepNext w:val="0"/>
        <w:keepLines w:val="0"/>
        <w:widowControl w:val="0"/>
        <w:shd w:val="clear" w:color="auto" w:fill="auto"/>
        <w:bidi w:val="0"/>
        <w:spacing w:before="0" w:after="0" w:line="240" w:lineRule="auto"/>
        <w:ind w:right="0" w:firstLine="0"/>
        <w:jc w:val="left"/>
      </w:pPr>
      <w:r>
        <w:rPr>
          <w:color w:val="41414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14141"/>
          <w:spacing w:val="0"/>
          <w:w w:val="100"/>
          <w:position w:val="0"/>
          <w:shd w:val="clear" w:color="auto" w:fill="auto"/>
          <w:lang w:val="ru-RU" w:eastAsia="ru-RU" w:bidi="ru-RU"/>
        </w:rPr>
        <w:t>ООЕ6486СС7ЕС9АСЗООА8А53САСЕОЕСЗЕ</w:t>
      </w:r>
      <w:r>
        <w:rPr>
          <w:color w:val="414141"/>
          <w:spacing w:val="0"/>
          <w:w w:val="100"/>
          <w:position w:val="0"/>
          <w:shd w:val="clear" w:color="auto" w:fill="auto"/>
          <w:lang w:val="ru-RU" w:eastAsia="ru-RU" w:bidi="ru-RU"/>
        </w:rPr>
        <w:t>О</w:t>
      </w:r>
    </w:p>
    <w:p>
      <w:pPr>
        <w:pStyle w:val="Style36"/>
        <w:keepNext w:val="0"/>
        <w:keepLines w:val="0"/>
        <w:widowControl w:val="0"/>
        <w:shd w:val="clear" w:color="auto" w:fill="auto"/>
        <w:bidi w:val="0"/>
        <w:spacing w:before="0" w:after="2540" w:line="240" w:lineRule="auto"/>
        <w:ind w:right="0" w:firstLine="0"/>
        <w:jc w:val="left"/>
      </w:pPr>
      <w:r>
        <w:rPr>
          <w:spacing w:val="0"/>
          <w:w w:val="100"/>
          <w:position w:val="0"/>
          <w:shd w:val="clear" w:color="auto" w:fill="auto"/>
          <w:lang w:val="ru-RU" w:eastAsia="ru-RU" w:bidi="ru-RU"/>
        </w:rPr>
        <w:t xml:space="preserve">Действителен </w:t>
      </w:r>
      <w:r>
        <w:rPr>
          <w:color w:val="414141"/>
          <w:spacing w:val="0"/>
          <w:w w:val="100"/>
          <w:position w:val="0"/>
          <w:shd w:val="clear" w:color="auto" w:fill="auto"/>
          <w:lang w:val="ru-RU" w:eastAsia="ru-RU" w:bidi="ru-RU"/>
        </w:rPr>
        <w:t xml:space="preserve">с 14.02.2023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09.05.2024</w:t>
      </w:r>
    </w:p>
    <w:p>
      <w:pPr>
        <w:pStyle w:val="Style1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Исп.Гареева Д.Ф. тел.8(351) 264-50-43</w:t>
      </w:r>
    </w:p>
    <w:sectPr>
      <w:footnotePr>
        <w:pos w:val="pageBottom"/>
        <w:numFmt w:val="decimal"/>
        <w:numRestart w:val="continuous"/>
      </w:footnotePr>
      <w:type w:val="continuous"/>
      <w:pgSz w:w="11900" w:h="16840"/>
      <w:pgMar w:top="778" w:right="546" w:bottom="965"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10068560</wp:posOffset>
              </wp:positionV>
              <wp:extent cx="646430" cy="100330"/>
              <wp:wrapNone/>
              <wp:docPr id="4" name="Shape 4"/>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2023-6438</w:t>
                          </w:r>
                        </w:p>
                      </w:txbxContent>
                    </wps:txbx>
                    <wps:bodyPr wrap="none" lIns="0" tIns="0" rIns="0" bIns="0">
                      <a:spAutoFit/>
                    </wps:bodyPr>
                  </wps:wsp>
                </a:graphicData>
              </a:graphic>
            </wp:anchor>
          </w:drawing>
        </mc:Choice>
        <mc:Fallback>
          <w:pict>
            <v:shape id="_x0000_s1030" type="#_x0000_t202" style="position:absolute;margin-left:56.950000000000003pt;margin-top:792.80000000000007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2023-6438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10314940</wp:posOffset>
              </wp:positionV>
              <wp:extent cx="646430" cy="100330"/>
              <wp:wrapNone/>
              <wp:docPr id="6" name="Shape 6"/>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2023-6438</w:t>
                          </w:r>
                        </w:p>
                      </w:txbxContent>
                    </wps:txbx>
                    <wps:bodyPr wrap="none" lIns="0" tIns="0" rIns="0" bIns="0">
                      <a:spAutoFit/>
                    </wps:bodyPr>
                  </wps:wsp>
                </a:graphicData>
              </a:graphic>
            </wp:anchor>
          </w:drawing>
        </mc:Choice>
        <mc:Fallback>
          <w:pict>
            <v:shape id="_x0000_s1032" type="#_x0000_t202" style="position:absolute;margin-left:57.pt;margin-top:812.20000000000005pt;width:50.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2023-6438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3903980</wp:posOffset>
              </wp:positionH>
              <wp:positionV relativeFrom="page">
                <wp:posOffset>180340</wp:posOffset>
              </wp:positionV>
              <wp:extent cx="128270" cy="103505"/>
              <wp:wrapNone/>
              <wp:docPr id="2" name="Shape 2"/>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40000000000003pt;margin-top:14.200000000000001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A6198"/>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 (4)_"/>
    <w:basedOn w:val="DefaultParagraphFont"/>
    <w:link w:val="Style12"/>
    <w:rPr>
      <w:rFonts w:ascii="Times New Roman" w:eastAsia="Times New Roman" w:hAnsi="Times New Roman" w:cs="Times New Roman"/>
      <w:b w:val="0"/>
      <w:bCs w:val="0"/>
      <w:i w:val="0"/>
      <w:iCs w:val="0"/>
      <w:smallCaps w:val="0"/>
      <w:strike w:val="0"/>
      <w:sz w:val="22"/>
      <w:szCs w:val="22"/>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32">
    <w:name w:val="Подпись к таблице_"/>
    <w:basedOn w:val="DefaultParagraphFont"/>
    <w:link w:val="Style31"/>
    <w:rPr>
      <w:rFonts w:ascii="Times New Roman" w:eastAsia="Times New Roman" w:hAnsi="Times New Roman" w:cs="Times New Roman"/>
      <w:b w:val="0"/>
      <w:bCs w:val="0"/>
      <w:i w:val="0"/>
      <w:iCs w:val="0"/>
      <w:smallCaps w:val="0"/>
      <w:strike w:val="0"/>
      <w:sz w:val="26"/>
      <w:szCs w:val="26"/>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6A6A6A"/>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66" w:lineRule="auto"/>
      <w:jc w:val="center"/>
    </w:pPr>
    <w:rPr>
      <w:rFonts w:ascii="Times New Roman" w:eastAsia="Times New Roman" w:hAnsi="Times New Roman" w:cs="Times New Roman"/>
      <w:b/>
      <w:bCs/>
      <w:i w:val="0"/>
      <w:iCs w:val="0"/>
      <w:smallCaps w:val="0"/>
      <w:strike w:val="0"/>
      <w:color w:val="4A6198"/>
      <w:sz w:val="19"/>
      <w:szCs w:val="19"/>
      <w:u w:val="none"/>
    </w:rPr>
  </w:style>
  <w:style w:type="paragraph" w:customStyle="1" w:styleId="Style9">
    <w:name w:val="Заголовок №1"/>
    <w:basedOn w:val="Normal"/>
    <w:link w:val="CharStyle10"/>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4)"/>
    <w:basedOn w:val="Normal"/>
    <w:link w:val="CharStyle13"/>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1">
    <w:name w:val="Подпись к таблице"/>
    <w:basedOn w:val="Normal"/>
    <w:link w:val="CharStyle32"/>
    <w:pPr>
      <w:widowControl w:val="0"/>
      <w:shd w:val="clear" w:color="auto" w:fill="auto"/>
      <w:ind w:firstLine="580"/>
    </w:pPr>
    <w:rPr>
      <w:rFonts w:ascii="Times New Roman" w:eastAsia="Times New Roman" w:hAnsi="Times New Roman" w:cs="Times New Roman"/>
      <w:b w:val="0"/>
      <w:bCs w:val="0"/>
      <w:i w:val="0"/>
      <w:iCs w:val="0"/>
      <w:smallCaps w:val="0"/>
      <w:strike w:val="0"/>
      <w:sz w:val="26"/>
      <w:szCs w:val="26"/>
      <w:u w:val="none"/>
    </w:rPr>
  </w:style>
  <w:style w:type="paragraph" w:customStyle="1" w:styleId="Style36">
    <w:name w:val="Основной текст (2)"/>
    <w:basedOn w:val="Normal"/>
    <w:link w:val="CharStyle37"/>
    <w:pPr>
      <w:widowControl w:val="0"/>
      <w:shd w:val="clear" w:color="auto" w:fill="auto"/>
      <w:ind w:left="3120"/>
    </w:pPr>
    <w:rPr>
      <w:rFonts w:ascii="Arial" w:eastAsia="Arial" w:hAnsi="Arial" w:cs="Arial"/>
      <w:b w:val="0"/>
      <w:bCs w:val="0"/>
      <w:i w:val="0"/>
      <w:iCs w:val="0"/>
      <w:smallCaps w:val="0"/>
      <w:strike w:val="0"/>
      <w:color w:val="6A6A6A"/>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image" Target="media/image8.jpeg"/><Relationship Id="rId24" Type="http://schemas.openxmlformats.org/officeDocument/2006/relationships/image" Target="media/image8.jpeg" TargetMode="External"/><Relationship Id="rId25" Type="http://schemas.openxmlformats.org/officeDocument/2006/relationships/image" Target="media/image9.jpeg"/><Relationship Id="rId26" Type="http://schemas.openxmlformats.org/officeDocument/2006/relationships/image" Target="media/image9.jpeg" TargetMode="External"/></Relationships>
</file>