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1784985</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footnotePr>
            <w:pos w:val="pageBottom"/>
            <w:numFmt w:val="decimal"/>
            <w:numRestart w:val="continuous"/>
          </w:footnotePr>
          <w:pgSz w:w="11900" w:h="16840"/>
          <w:pgMar w:top="298" w:right="1097" w:bottom="1053" w:left="1107" w:header="0" w:footer="625" w:gutter="0"/>
          <w:pgNumType w:start="1"/>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723900</wp:posOffset>
                </wp:positionH>
                <wp:positionV relativeFrom="paragraph">
                  <wp:posOffset>12700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1.pt;width:203.05000000000001pt;height:170.1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40" w:line="240" w:lineRule="auto"/>
        <w:ind w:left="0" w:right="0" w:firstLine="480"/>
        <w:jc w:val="left"/>
      </w:pPr>
      <w:r>
        <w:rPr>
          <w:color w:val="000000"/>
          <w:spacing w:val="0"/>
          <w:w w:val="100"/>
          <w:position w:val="0"/>
          <w:shd w:val="clear" w:color="auto" w:fill="auto"/>
          <w:lang w:val="ru-RU" w:eastAsia="ru-RU" w:bidi="ru-RU"/>
        </w:rPr>
        <w:t>ГБУЗ «ДГП № 48 ДЗМ»</w:t>
      </w:r>
    </w:p>
    <w:p>
      <w:pPr>
        <w:pStyle w:val="Style6"/>
        <w:keepNext w:val="0"/>
        <w:keepLines w:val="0"/>
        <w:widowControl w:val="0"/>
        <w:shd w:val="clear" w:color="auto" w:fill="auto"/>
        <w:bidi w:val="0"/>
        <w:spacing w:before="0" w:after="240" w:line="240" w:lineRule="auto"/>
        <w:ind w:left="0" w:right="0" w:firstLine="480"/>
        <w:jc w:val="left"/>
      </w:pPr>
      <w:r>
        <w:fldChar w:fldCharType="begin"/>
      </w:r>
      <w:r>
        <w:rPr/>
        <w:instrText> HYPERLINK "mailto:dgp48peo@gmail.com" </w:instrText>
      </w:r>
      <w:r>
        <w:fldChar w:fldCharType="separate"/>
      </w:r>
      <w:r>
        <w:rPr>
          <w:color w:val="000000"/>
          <w:spacing w:val="0"/>
          <w:w w:val="100"/>
          <w:position w:val="0"/>
          <w:shd w:val="clear" w:color="auto" w:fill="auto"/>
          <w:lang w:val="ru-RU" w:eastAsia="ru-RU" w:bidi="ru-RU"/>
        </w:rPr>
        <w:t>4др48рео@дтай.сот</w:t>
      </w:r>
      <w:r>
        <w:fldChar w:fldCharType="end"/>
      </w:r>
    </w:p>
    <w:p>
      <w:pPr>
        <w:pStyle w:val="Style6"/>
        <w:keepNext w:val="0"/>
        <w:keepLines w:val="0"/>
        <w:widowControl w:val="0"/>
        <w:shd w:val="clear" w:color="auto" w:fill="auto"/>
        <w:bidi w:val="0"/>
        <w:spacing w:before="0" w:after="240" w:line="240" w:lineRule="auto"/>
        <w:ind w:left="0" w:right="0" w:firstLine="480"/>
        <w:jc w:val="left"/>
      </w:pPr>
      <w:r>
        <w:rPr>
          <w:color w:val="000000"/>
          <w:spacing w:val="0"/>
          <w:w w:val="100"/>
          <w:position w:val="0"/>
          <w:shd w:val="clear" w:color="auto" w:fill="auto"/>
          <w:lang w:val="ru-RU" w:eastAsia="ru-RU" w:bidi="ru-RU"/>
        </w:rPr>
        <w:t>ООО «Технический центр «Медсервис»</w:t>
      </w:r>
    </w:p>
    <w:p>
      <w:pPr>
        <w:pStyle w:val="Style6"/>
        <w:keepNext w:val="0"/>
        <w:keepLines w:val="0"/>
        <w:widowControl w:val="0"/>
        <w:shd w:val="clear" w:color="auto" w:fill="auto"/>
        <w:bidi w:val="0"/>
        <w:spacing w:before="0" w:after="240" w:line="240" w:lineRule="auto"/>
        <w:ind w:left="0" w:right="0" w:firstLine="480"/>
        <w:jc w:val="left"/>
      </w:pPr>
      <w:r>
        <w:fldChar w:fldCharType="begin"/>
      </w:r>
      <w:r>
        <w:rPr/>
        <w:instrText> HYPERLINK "mailto:Med3275149@inbox.ru" </w:instrText>
      </w:r>
      <w:r>
        <w:fldChar w:fldCharType="separate"/>
      </w:r>
      <w:r>
        <w:rPr>
          <w:color w:val="000000"/>
          <w:spacing w:val="0"/>
          <w:w w:val="100"/>
          <w:position w:val="0"/>
          <w:shd w:val="clear" w:color="auto" w:fill="auto"/>
          <w:lang w:val="ru-RU" w:eastAsia="ru-RU" w:bidi="ru-RU"/>
        </w:rPr>
        <w:t>Ме43275149@тЪох.ги</w:t>
      </w:r>
      <w:r>
        <w:fldChar w:fldCharType="end"/>
      </w:r>
    </w:p>
    <w:p>
      <w:pPr>
        <w:pStyle w:val="Style6"/>
        <w:keepNext w:val="0"/>
        <w:keepLines w:val="0"/>
        <w:widowControl w:val="0"/>
        <w:shd w:val="clear" w:color="auto" w:fill="auto"/>
        <w:bidi w:val="0"/>
        <w:spacing w:before="0" w:after="240" w:line="240" w:lineRule="auto"/>
        <w:ind w:left="0" w:right="0" w:firstLine="48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1060" w:line="240" w:lineRule="auto"/>
        <w:ind w:left="0" w:right="0" w:firstLine="480"/>
        <w:jc w:val="left"/>
      </w:pPr>
      <w:r>
        <w:rPr>
          <w:color w:val="000000"/>
          <w:spacing w:val="0"/>
          <w:w w:val="100"/>
          <w:position w:val="0"/>
          <w:shd w:val="clear" w:color="auto" w:fill="auto"/>
          <w:lang w:val="ru-RU" w:eastAsia="ru-RU" w:bidi="ru-RU"/>
        </w:rPr>
        <w:t>ко@го8екогд.гн</w:t>
      </w:r>
    </w:p>
    <w:p>
      <w:pPr>
        <w:pStyle w:val="Style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077/06/106-26547-ЭП/23/2023 о нарушении</w:t>
        <w:br/>
        <w:t>законодательства о контрактной системе</w:t>
      </w:r>
    </w:p>
    <w:p>
      <w:pPr>
        <w:pStyle w:val="Style6"/>
        <w:keepNext w:val="0"/>
        <w:keepLines w:val="0"/>
        <w:widowControl w:val="0"/>
        <w:shd w:val="clear" w:color="auto" w:fill="auto"/>
        <w:tabs>
          <w:tab w:pos="8395"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02.05.2023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«ДГП № 48 ДЗМ»: Т.К. Аляутдинова (по доверенности № б/н от 26.04.2023),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«Технический центр «Медсервис», о времени и порядке заседания Комиссии уведомленных письмом Московского УФАС России,</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 xml:space="preserve">рассмотрев жалобу ООО «Технический центр «Медсервис» (далее — Заявитель) на действия ГБУЗ «ДГП № 48 ДЗМ» (далее — Заказчик) при проведении электронного аукциона на право заключения государственного контракта на поставку медицинского расходного материала (лот 9) для нужд ГБУЗ «ДГП №48 ДЗМ» (Закупка № 0373200068023000032) (далее - аукцион), </w:t>
      </w:r>
      <w:r>
        <w:rPr>
          <w:color w:val="000000"/>
          <w:spacing w:val="0"/>
          <w:w w:val="100"/>
          <w:position w:val="0"/>
          <w:shd w:val="clear" w:color="auto" w:fill="auto"/>
          <w:lang w:val="ru-RU" w:eastAsia="ru-RU" w:bidi="ru-RU"/>
        </w:rPr>
        <w:t>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20.04.2023 №ИЭА1 заявка Заявителя (номер заявки 4) признана не соответствующей требованиям аукционной документации на следующем основании: </w:t>
      </w:r>
      <w:r>
        <w:rPr>
          <w:i/>
          <w:iCs/>
          <w:color w:val="000000"/>
          <w:spacing w:val="0"/>
          <w:w w:val="100"/>
          <w:position w:val="0"/>
          <w:shd w:val="clear" w:color="auto" w:fill="auto"/>
          <w:lang w:val="ru-RU" w:eastAsia="ru-RU" w:bidi="ru-RU"/>
        </w:rPr>
        <w:t>«Участник в составе заявки прикладывает РУ ФСР 2011/11510 от 20.11.2018 г. РУ представлен на комплекты медицинские одноразовые из нетканных материалов стерильные и нестерильные по ТУ 9398-001-68015378-2011.На отдельную позицию согласно техническому заданию РУ не представлено»</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в Техническом задании установлены требования к закупаемому товару по п.1: «Простыня для инструментов/оборудования, одноразового использования, нестерильная: «Длина: &gt;= 140 &lt;= 150 см.,Материал: Нетканый, Плотность, г/м2: &gt;= 24 &lt;= 34., Фасовка: Пакет. Ширина: &gt;= 70 &lt;= 79 см».</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Заявителем предложены к поставке изделия по п. 1: «Простыня для инструментов/оборудования, одноразового использования, нестерильная: «Длина: 140 см, Материал: Нетканый, Плотность, г/м2: 25, Фасовка: Пакет, Ширина: 70 см».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Одновременно с этим в составе заявки Заявителя представлено регистрационное удостоверение № ФСР 2011/11510 от 20.11.2018 на комплекты медицинские одноразовые из нетканых материалов стерильные и нестерильные по ТУ 9398-001-68015378-2011, производителя ООО «Фарм- Глобал», Россия.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в составе заявки Заявителя было приложено регистрационное удостоверение на № ФСР 2011/11510 от 20.11.2018 на комплекты медицинские одноразовые из нетканых материалов стерильные и </w:t>
      </w:r>
      <w:r>
        <w:rPr>
          <w:color w:val="000000"/>
          <w:spacing w:val="0"/>
          <w:w w:val="100"/>
          <w:position w:val="0"/>
          <w:shd w:val="clear" w:color="auto" w:fill="auto"/>
          <w:lang w:val="ru-RU" w:eastAsia="ru-RU" w:bidi="ru-RU"/>
        </w:rPr>
        <w:t>нестерильные по ТУ 9398-001-68015378-2011, производителя ООО «Фарм- Глобал», при этом закупаемым товаром является только «Простыня для инструментов/оборудования, одноразового использования, нестерильная».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предлагаемое Заявителем к поставке изделие входит в состав комплекта, указанного в регистрационном удостоверении на медицинские изделия от 20.11.2018 года № ФСР 2011/11510, которое было приложено в составе заявки.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Комиссия Управления отмечает действующим законодательством не установлено императивное требование о регистрации всех принадлежностей медицинского изделия, ввиду чего выводы комиссии Заказчика, что предложенный к поставке набор не отвечает требованиям документации, не состоятельны.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в силу ч.4 ст.38 Закона об основах охраны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6"/>
        <w:keepNext w:val="0"/>
        <w:keepLines w:val="0"/>
        <w:widowControl w:val="0"/>
        <w:shd w:val="clear" w:color="auto" w:fill="auto"/>
        <w:tabs>
          <w:tab w:pos="64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27.12.2012 №</w:t>
        <w:tab/>
        <w:t>1416 «Об утверждении Правил государственной регистрации</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медицинских изделий» утверждены правила государственной регистрации медицинских изделий (далее — Правила).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является регистрационное удостоверение.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При этом Комиссия Управления отмечает, что согласно пп. «а» п. 9 Правил государственной регистрации медицинских изделий в заявлении о государственной регистрации медицинского изделия указываются в том </w:t>
      </w:r>
      <w:r>
        <w:rPr>
          <w:color w:val="000000"/>
          <w:spacing w:val="0"/>
          <w:w w:val="100"/>
          <w:position w:val="0"/>
          <w:shd w:val="clear" w:color="auto" w:fill="auto"/>
          <w:lang w:val="ru-RU" w:eastAsia="ru-RU" w:bidi="ru-RU"/>
        </w:rPr>
        <w:t>числе наименование медицинского изделия (с указанием принадлежностей, необходимых для применения медицинского изделия по назначению).</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п. 14 Правил государственной регистрации медицинских изделий определено, что регистрирующий орган не вправе требовать от заявителя указывать в заявлении о регистрации сведения, не предусмотренные п. 9 Правил государственной регистрации медицинских изделий, и представлять документы, не предусмотренные п. 10 Правил государственной регистрации медицинских изделий.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пп. «а» п. 56 Правил государственной регистрации медицинских изделий в регистрационном удостоверении указывается в том числе наименование медицинского изделия (с указанием принадлежностей, необходимых для применения медицинского изделия по назначению).</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в регистрационном удостоверении могут быть указаны принадлежности, которые не требуют отдельной регистрации медицинского изделия, в связи с чем Комиссия Управления приходит к выводу, что подтверждение регистрации поставляемого медицинского изделия путем представления регистрационного удостоверения на комплект изделий, в состав которого входит поставляемый товар, не противоречит действующим нормам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Более того, Законом о контрактной системе вменена обязанность участника закупки представить документ, подтверждающий соответствие товара требованиям, установленным в соответствии с законодательством Российской Федерации, что и было сделано Заявителем, при этом факт регистрации комплекта изделий не свидетельствует о том, что простыня, включенная в комплект не является зарегистрированным изделием.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пп. «а» п.1 ч.5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1-8 ч. 12 ст. 48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3"/>
        </w:numPr>
        <w:shd w:val="clear" w:color="auto" w:fill="auto"/>
        <w:tabs>
          <w:tab w:pos="11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w:t>
      </w:r>
      <w:r>
        <w:rPr>
          <w:color w:val="000000"/>
          <w:spacing w:val="0"/>
          <w:w w:val="100"/>
          <w:position w:val="0"/>
          <w:shd w:val="clear" w:color="auto" w:fill="auto"/>
          <w:lang w:val="ru-RU" w:eastAsia="ru-RU" w:bidi="ru-RU"/>
        </w:rPr>
        <w:t>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3"/>
        </w:numPr>
        <w:shd w:val="clear" w:color="auto" w:fill="auto"/>
        <w:tabs>
          <w:tab w:pos="11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3"/>
        </w:numPr>
        <w:shd w:val="clear" w:color="auto" w:fill="auto"/>
        <w:tabs>
          <w:tab w:pos="11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3"/>
        </w:numPr>
        <w:shd w:val="clear" w:color="auto" w:fill="auto"/>
        <w:tabs>
          <w:tab w:pos="11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3"/>
        </w:numPr>
        <w:shd w:val="clear" w:color="auto" w:fill="auto"/>
        <w:tabs>
          <w:tab w:pos="18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3"/>
        </w:numPr>
        <w:shd w:val="clear" w:color="auto" w:fill="auto"/>
        <w:tabs>
          <w:tab w:pos="11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3"/>
        </w:numPr>
        <w:shd w:val="clear" w:color="auto" w:fill="auto"/>
        <w:tabs>
          <w:tab w:pos="11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электронного аукциона, является неправомерным и принято в нарушение пп. «а» п.1 ч.5 ст. 49 Закона о контрактной системе, что содержит признаки состава административного правонарушения, ответственность за которое предусмотрена ч.2 ст. 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260" w:line="240" w:lineRule="auto"/>
        <w:ind w:left="0" w:right="0" w:firstLine="6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1.Признать жалобу ООО «Технический центр «Медсервис» на действия ГБУЗ «ДГП № 48 ДЗМ» обоснованной.</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2.Признать в действиях Заказчика нарушение пп. «а» п.1 ч.5 ст. 49 Закона о контрактной системе.</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3.Обязательное для исполнения предписание об устранении нарушений законодательства о контрактной системе Заказчику не выдавать, поскольку Заказчику предписание выдано в рамках рассмотрения жалобы ООО «Медицина и торговля» по делу № 077/06/106-26180-ЭП/23/2023 от 27.04.2023.</w:t>
      </w:r>
    </w:p>
    <w:p>
      <w:pPr>
        <w:pStyle w:val="Style6"/>
        <w:keepNext w:val="0"/>
        <w:keepLines w:val="0"/>
        <w:widowControl w:val="0"/>
        <w:shd w:val="clear" w:color="auto" w:fill="auto"/>
        <w:bidi w:val="0"/>
        <w:spacing w:before="0" w:after="260" w:line="240" w:lineRule="auto"/>
        <w:ind w:left="0" w:right="0" w:firstLine="64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200" w:line="240" w:lineRule="auto"/>
        <w:ind w:left="0" w:right="0" w:firstLine="7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6"/>
        <w:keepNext w:val="0"/>
        <w:keepLines w:val="0"/>
        <w:widowControl w:val="0"/>
        <w:shd w:val="clear" w:color="auto" w:fill="auto"/>
        <w:tabs>
          <w:tab w:pos="7834" w:val="left"/>
        </w:tabs>
        <w:bidi w:val="0"/>
        <w:spacing w:before="0" w:after="200" w:line="240" w:lineRule="auto"/>
        <w:ind w:left="0" w:right="0" w:firstLine="0"/>
        <w:jc w:val="both"/>
      </w:pPr>
      <w:r>
        <w:rPr>
          <w:color w:val="000000"/>
          <w:spacing w:val="0"/>
          <w:w w:val="100"/>
          <w:position w:val="0"/>
          <w:shd w:val="clear" w:color="auto" w:fill="auto"/>
          <w:lang w:val="ru-RU" w:eastAsia="ru-RU" w:bidi="ru-RU"/>
        </w:rPr>
        <w:t>Председательствующий</w:t>
        <w:tab/>
        <w:t>Е.А.Миронова</w:t>
      </w:r>
    </w:p>
    <w:p>
      <w:pPr>
        <w:pStyle w:val="Style6"/>
        <w:keepNext w:val="0"/>
        <w:keepLines w:val="0"/>
        <w:widowControl w:val="0"/>
        <w:shd w:val="clear" w:color="auto" w:fill="auto"/>
        <w:tabs>
          <w:tab w:pos="7517" w:val="left"/>
        </w:tabs>
        <w:bidi w:val="0"/>
        <w:spacing w:before="0" w:after="200" w:line="240" w:lineRule="auto"/>
        <w:ind w:left="0" w:right="0" w:firstLine="0"/>
        <w:jc w:val="both"/>
      </w:pPr>
      <w:r>
        <w:rPr>
          <w:color w:val="000000"/>
          <w:spacing w:val="0"/>
          <w:w w:val="100"/>
          <w:position w:val="0"/>
          <w:shd w:val="clear" w:color="auto" w:fill="auto"/>
          <w:lang w:val="ru-RU" w:eastAsia="ru-RU" w:bidi="ru-RU"/>
        </w:rPr>
        <w:t>Члены Комиссии</w:t>
        <w:tab/>
        <w:t>А.А.Матюшенко</w:t>
      </w:r>
    </w:p>
    <w:p>
      <w:pPr>
        <w:pStyle w:val="Style6"/>
        <w:keepNext w:val="0"/>
        <w:keepLines w:val="0"/>
        <w:widowControl w:val="0"/>
        <w:shd w:val="clear" w:color="auto" w:fill="auto"/>
        <w:bidi w:val="0"/>
        <w:spacing w:before="0" w:after="390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2"/>
        <w:keepNext w:val="0"/>
        <w:keepLines w:val="0"/>
        <w:widowControl w:val="0"/>
        <w:shd w:val="clear" w:color="auto" w:fill="auto"/>
        <w:bidi w:val="0"/>
        <w:spacing w:before="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Исп. Фурсиков И.И. 8 (495)784-75-05</w:t>
      </w:r>
    </w:p>
    <w:sectPr>
      <w:footnotePr>
        <w:pos w:val="pageBottom"/>
        <w:numFmt w:val="decimal"/>
        <w:numRestart w:val="continuous"/>
      </w:footnotePr>
      <w:type w:val="continuous"/>
      <w:pgSz w:w="11900" w:h="16840"/>
      <w:pgMar w:top="1105" w:right="1106" w:bottom="972" w:left="1099" w:header="0" w:footer="544"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Заголовок №1_"/>
    <w:basedOn w:val="DefaultParagraphFont"/>
    <w:link w:val="Style8"/>
    <w:rPr>
      <w:rFonts w:ascii="Times New Roman" w:eastAsia="Times New Roman" w:hAnsi="Times New Roman" w:cs="Times New Roman"/>
      <w:b/>
      <w:bCs/>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Заголовок №1"/>
    <w:basedOn w:val="Normal"/>
    <w:link w:val="CharStyle9"/>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