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12775" distB="0" distL="114300" distR="114300" simplePos="0" relativeHeight="125829379" behindDoc="0" locked="0" layoutInCell="1" allowOverlap="1">
                <wp:simplePos x="0" y="0"/>
                <wp:positionH relativeFrom="page">
                  <wp:posOffset>720725</wp:posOffset>
                </wp:positionH>
                <wp:positionV relativeFrom="paragraph">
                  <wp:posOffset>625475</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1о77@Га8.еоу.ш</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25pt;width:203.05000000000001pt;height:170.15000000000001pt;z-index:-125829374;mso-wrap-distance-left:9.pt;mso-wrap-distance-top:48.25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1о77@Га8.еоу.ш</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ГБУ «МОСГОРГЕОТРЕСТ»</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пуакоV1еVа@тдд^.^и;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ороки8аеVа@тдд^.^и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ООО «Техникс Лтд»</w:t>
      </w:r>
    </w:p>
    <w:p>
      <w:pPr>
        <w:pStyle w:val="Style6"/>
        <w:keepNext w:val="0"/>
        <w:keepLines w:val="0"/>
        <w:widowControl w:val="0"/>
        <w:shd w:val="clear" w:color="auto" w:fill="auto"/>
        <w:bidi w:val="0"/>
        <w:spacing w:before="0" w:after="2060" w:line="240" w:lineRule="auto"/>
        <w:ind w:left="1040" w:right="0" w:firstLine="0"/>
        <w:jc w:val="both"/>
      </w:pPr>
      <w:r>
        <w:rPr>
          <w:color w:val="000000"/>
          <w:spacing w:val="0"/>
          <w:w w:val="100"/>
          <w:position w:val="0"/>
          <w:shd w:val="clear" w:color="auto" w:fill="auto"/>
          <w:lang w:val="ru-RU" w:eastAsia="ru-RU" w:bidi="ru-RU"/>
        </w:rPr>
        <w:t>1ектк8-1М@таП.ги</w:t>
      </w:r>
    </w:p>
    <w:p>
      <w:pPr>
        <w:pStyle w:val="Style1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№077/06/106-26519-ЭП/23/23/2023 о нарушении</w:t>
        <w:br/>
        <w:t>законодательства о контрактной системе</w:t>
      </w:r>
    </w:p>
    <w:p>
      <w:pPr>
        <w:pStyle w:val="Style6"/>
        <w:keepNext w:val="0"/>
        <w:keepLines w:val="0"/>
        <w:widowControl w:val="0"/>
        <w:shd w:val="clear" w:color="auto" w:fill="auto"/>
        <w:tabs>
          <w:tab w:pos="8947"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К.А. Сомова,</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ГБУ «МОСГОРГЕОТРЕСТ»: Д.С. Стахов (дов.№482 от 06.09.2022), К.С. Назарова (дов.№526 от 29.09.2022),</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ООО «Техникс Лтд»: Н.Н. Косинова (дов.№б/н от 26.04.2023),</w:t>
      </w:r>
    </w:p>
    <w:p>
      <w:pPr>
        <w:pStyle w:val="Style6"/>
        <w:keepNext w:val="0"/>
        <w:keepLines w:val="0"/>
        <w:widowControl w:val="0"/>
        <w:shd w:val="clear" w:color="auto" w:fill="auto"/>
        <w:bidi w:val="0"/>
        <w:spacing w:before="0" w:after="480" w:line="240" w:lineRule="auto"/>
        <w:ind w:left="0" w:right="0" w:firstLine="600"/>
        <w:jc w:val="both"/>
      </w:pPr>
      <w:r>
        <w:rPr>
          <w:color w:val="000000"/>
          <w:spacing w:val="0"/>
          <w:w w:val="100"/>
          <w:position w:val="0"/>
          <w:shd w:val="clear" w:color="auto" w:fill="auto"/>
          <w:lang w:val="ru-RU" w:eastAsia="ru-RU" w:bidi="ru-RU"/>
        </w:rPr>
        <w:t>рассмотрев жалобу ООО «Техникс Лтд» (далее — Заявитель) на действия ГБУ «МОСГОРГЕОТРЕСТ» (далее — Заказчик) при проведении электронного аукциона на право заключения государственного контракта на поставку запасных частей, узлов и агрегатов для автотранспортных средств (Закупка № 0373500001423000031) (далее — аукцион) в соответствии с Федеральным законом от</w:t>
      </w:r>
    </w:p>
    <w:p>
      <w:pPr>
        <w:pStyle w:val="Style14"/>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keepLines/>
        <w:widowControl w:val="0"/>
        <w:shd w:val="clear" w:color="auto" w:fill="auto"/>
        <w:bidi w:val="0"/>
        <w:spacing w:before="0" w:after="280" w:line="233"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запрашиваемые письмом Московского УФАС России от 25.04.2023 №ЕИ/18208/23, документы и сведения.</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Заявителем обжалуется неправомерное объединение в составе одного лота товаров технологически не связанных между друг другом, а также происходящих из иностранных государств с товарами, производимыми на территории ЕВРАЗЭС, что делает невозможным надлежащее исполнение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установленного в извещении о проведении закупочной процедуры.</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На основании п.15 ч.1 ст.42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280" w:line="233" w:lineRule="auto"/>
        <w:ind w:left="0" w:right="0" w:firstLine="700"/>
        <w:jc w:val="both"/>
      </w:pPr>
      <w:r>
        <w:rPr>
          <w:color w:val="000000"/>
          <w:spacing w:val="0"/>
          <w:w w:val="100"/>
          <w:position w:val="0"/>
          <w:shd w:val="clear" w:color="auto" w:fill="auto"/>
          <w:lang w:val="ru-RU" w:eastAsia="ru-RU" w:bidi="ru-RU"/>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Так, по мнению Заявителя, товары, указанные в технической части закупочной документации, должны быть разделены Заказчиком следующим образом:</w:t>
      </w:r>
    </w:p>
    <w:p>
      <w:pPr>
        <w:pStyle w:val="Style6"/>
        <w:keepNext w:val="0"/>
        <w:keepLines w:val="0"/>
        <w:widowControl w:val="0"/>
        <w:numPr>
          <w:ilvl w:val="0"/>
          <w:numId w:val="1"/>
        </w:numPr>
        <w:shd w:val="clear" w:color="auto" w:fill="auto"/>
        <w:tabs>
          <w:tab w:pos="107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Запасные части для легковых автомобилей производства ЕВРАЗЭС: ГАПА (ВАЗ); ГАЗ; УАЗ.</w:t>
      </w:r>
    </w:p>
    <w:p>
      <w:pPr>
        <w:pStyle w:val="Style6"/>
        <w:keepNext w:val="0"/>
        <w:keepLines w:val="0"/>
        <w:widowControl w:val="0"/>
        <w:numPr>
          <w:ilvl w:val="0"/>
          <w:numId w:val="1"/>
        </w:numPr>
        <w:shd w:val="clear" w:color="auto" w:fill="auto"/>
        <w:tabs>
          <w:tab w:pos="107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 xml:space="preserve">Запасные части для легковых автомобилей импортного производства: К1а; Уо11&lt;з\уадеп; </w:t>
      </w:r>
      <w:r>
        <w:rPr>
          <w:smallCaps/>
          <w:color w:val="000000"/>
          <w:spacing w:val="0"/>
          <w:w w:val="100"/>
          <w:position w:val="0"/>
          <w:shd w:val="clear" w:color="auto" w:fill="auto"/>
          <w:lang w:val="ru-RU" w:eastAsia="ru-RU" w:bidi="ru-RU"/>
        </w:rPr>
        <w:t>У01уо;</w:t>
      </w:r>
      <w:r>
        <w:rPr>
          <w:color w:val="000000"/>
          <w:spacing w:val="0"/>
          <w:w w:val="100"/>
          <w:position w:val="0"/>
          <w:shd w:val="clear" w:color="auto" w:fill="auto"/>
          <w:lang w:val="ru-RU" w:eastAsia="ru-RU" w:bidi="ru-RU"/>
        </w:rPr>
        <w:t xml:space="preserve"> КепаиГ; ^еер; АиШ; СЬеV^о1е^; Тоуо1а; ЗзапдУопд; Мегседез- Вепх; </w:t>
      </w:r>
      <w:r>
        <w:rPr>
          <w:smallCaps/>
          <w:color w:val="000000"/>
          <w:spacing w:val="0"/>
          <w:w w:val="100"/>
          <w:position w:val="0"/>
          <w:shd w:val="clear" w:color="auto" w:fill="auto"/>
          <w:lang w:val="ru-RU" w:eastAsia="ru-RU" w:bidi="ru-RU"/>
        </w:rPr>
        <w:t>ГоМ;</w:t>
      </w:r>
      <w:r>
        <w:rPr>
          <w:color w:val="000000"/>
          <w:spacing w:val="0"/>
          <w:w w:val="100"/>
          <w:position w:val="0"/>
          <w:shd w:val="clear" w:color="auto" w:fill="auto"/>
          <w:lang w:val="ru-RU" w:eastAsia="ru-RU" w:bidi="ru-RU"/>
        </w:rPr>
        <w:t xml:space="preserve"> Нуипда^ №ззап.</w:t>
      </w:r>
    </w:p>
    <w:p>
      <w:pPr>
        <w:pStyle w:val="Style6"/>
        <w:keepNext w:val="0"/>
        <w:keepLines w:val="0"/>
        <w:widowControl w:val="0"/>
        <w:numPr>
          <w:ilvl w:val="0"/>
          <w:numId w:val="1"/>
        </w:numPr>
        <w:shd w:val="clear" w:color="auto" w:fill="auto"/>
        <w:tabs>
          <w:tab w:pos="107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Запасные части для грузовых автомобилей производства ЕВРАЗЭС: ГАЗ; ЗИЛ; КАМАЗ; УрАЛ; МАЗ.</w:t>
      </w:r>
    </w:p>
    <w:p>
      <w:pPr>
        <w:pStyle w:val="Style6"/>
        <w:keepNext w:val="0"/>
        <w:keepLines w:val="0"/>
        <w:widowControl w:val="0"/>
        <w:numPr>
          <w:ilvl w:val="0"/>
          <w:numId w:val="1"/>
        </w:numPr>
        <w:shd w:val="clear" w:color="auto" w:fill="auto"/>
        <w:tabs>
          <w:tab w:pos="107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Запасные части для грузовых автомобилей импортного производства: 8саша; МкзиЫзЫ; Ьихи; НуипдаЁ</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в номенклатуру товаров по рассматриваемой закупочной процедуре включены запасные части, узлы и агрегаты, совместимые с техникой Заказчика, с указанием их артикулов в соответствии с каталогом заводов-производителей. При этом в соответствии с положениями п.1 ч.1 ст.33 Закона о контрактной системе в техническом задании указана возможность поставки эквивалентных товаров, в том числе производимых на территории ЕВРАЗЭС.</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Комиссия Управления также отмечает, что в соответствии с положениями п.1 Приказа №126н действия такого приказа распространяются на товары, указанные в приложении № 1, приложении № 2 к приказу №126н. При этом положениями Приказа №126н не установлены ограничения на включение в состав одного лота товаров происходящих из иностранных государств с товарами, происходящих на территории ЕВРАЗЭС, такое ограничения распространяется исключительно на товары, включенные и не включенные в вышеуказанные перечни.</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Кроме того, в составе жалобы Заявитель указывает на наличие неправомерных сроков поставки требуемых запасных частей: «Срок поставки товара с 1-го по 5-й рабочий день с даты получения заявки», поскольку, по мнению Заявителя, такой срок является не исполнимым и существенно ограничивает количество участников закупочной процедуры.</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пояснил, что срок поставки товара обусловлен потребностью Заказчика в обеспечении авторемонтных мастерских запасными частями, узлами и агрегатами для автотранспортных средств ГБУ «Мосгоргеотрест», с целью обеспечения бесперебойной работы при проведении геодезических и геологических изысканий, а также при выполнении государственного задания.</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На этапе формировании закупочной документации Заказчиком использован метод сопоставимых рыночных цен (анализа рынка) для определения начальной (максимальной) цены контракта, ввиду чего Заказчиком были направлены запросы коммерческих предложений на поставку запасных частей, узлов и агрегатов для автотранспортных средств в три организации, в ответ на которые были получены соответствующие коммерческие предложения, с указанием возможности поставки данных товаров в 5 рабочих дней с даты получения заявки.</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Также Заявителем обжалуется неправомерное установление в составе технического задания требований о поставки запасных частей для СкеV^о1е^ Такое, несмотря на то, что, по мнению Заявителя, ГБУ «МОСГОРГЕОТРЕСТ» не имеет в собственности указанный автомобиль.</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 xml:space="preserve">Не согласившись с доводом жалобы представитель Заказчика указал, что на балансе Учреждения имеется автомобиль СкеV^о1е^ Такое 2015 года выпуска, что </w:t>
      </w:r>
      <w:r>
        <w:rPr>
          <w:color w:val="000000"/>
          <w:spacing w:val="0"/>
          <w:w w:val="100"/>
          <w:position w:val="0"/>
          <w:shd w:val="clear" w:color="auto" w:fill="auto"/>
          <w:lang w:val="ru-RU" w:eastAsia="ru-RU" w:bidi="ru-RU"/>
        </w:rPr>
        <w:t>подтверждается инвентарной карточкой учета нефинансовых активов №43673, представленной на заседании Комиссии Управления. Таким образом, позиции 123-175 номенклатуры товаров включены в закупочную процедуру для возможности осуществления ремонтных работ данного автомобиля в течение срока действия контракта.</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Из положений норм Закона о контрактной системе следует, что Заказчик вправе включить в извещение об осуществлении закупки такие характеристики объекта закупки,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объект закупки. Законом о контрактной системе не предусмотрены ограничения по включению в извещение требований к объекту закупки, являющимися значимыми для заказчика.</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Таким образом, при наличии у Заказчика потребности в получении определенных услуг, вести речь о необоснованном ограничении им количества потенциальных участников размещения закупки не приходится.</w:t>
      </w:r>
    </w:p>
    <w:p>
      <w:pPr>
        <w:pStyle w:val="Style6"/>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вышеуказанные доводы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0" w:line="233"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04" w:right="541" w:bottom="966" w:left="11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tabs>
          <w:tab w:pos="12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w:t>
        <w:tab/>
        <w:t>Признать жалобу ООО «Техникс Лтд» на действия ГБУ</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«МОСГОРГЕОТРЕСТ» необоснованной.</w:t>
      </w:r>
    </w:p>
    <w:p>
      <w:pPr>
        <w:pStyle w:val="Style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наложенные письмом Московского УФАС России от 25.04.2023 №ЕИ/18208/23.</w:t>
      </w:r>
    </w:p>
    <w:p>
      <w:pPr>
        <w:pStyle w:val="Style6"/>
        <w:keepNext w:val="0"/>
        <w:keepLines w:val="0"/>
        <w:widowControl w:val="0"/>
        <w:shd w:val="clear" w:color="auto" w:fill="auto"/>
        <w:bidi w:val="0"/>
        <w:spacing w:before="0" w:after="60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500" w:line="240" w:lineRule="auto"/>
        <w:ind w:left="0" w:right="0" w:firstLine="0"/>
        <w:jc w:val="right"/>
      </w:pPr>
      <w:r>
        <mc:AlternateContent>
          <mc:Choice Requires="wps">
            <w:drawing>
              <wp:anchor distT="0" distB="557530" distL="114300" distR="114300" simplePos="0" relativeHeight="125829381" behindDoc="0" locked="0" layoutInCell="1" allowOverlap="1">
                <wp:simplePos x="0" y="0"/>
                <wp:positionH relativeFrom="page">
                  <wp:posOffset>702310</wp:posOffset>
                </wp:positionH>
                <wp:positionV relativeFrom="paragraph">
                  <wp:posOffset>12700</wp:posOffset>
                </wp:positionV>
                <wp:extent cx="1859280" cy="250190"/>
                <wp:wrapSquare wrapText="bothSides"/>
                <wp:docPr id="11" name="Shape 11"/>
                <a:graphic xmlns:a="http://schemas.openxmlformats.org/drawingml/2006/main">
                  <a:graphicData uri="http://schemas.microsoft.com/office/word/2010/wordprocessingShape">
                    <wps:wsp>
                      <wps:cNvSpPr txBox="1"/>
                      <wps:spPr>
                        <a:xfrm>
                          <a:ext cx="185928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5.300000000000004pt;margin-top:1.pt;width:146.40000000000001pt;height:19.699999999999999pt;z-index:-125829372;mso-wrap-distance-left:9.pt;mso-wrap-distance-right:9.pt;mso-wrap-distance-bottom:43.89999999999999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square" anchorx="page"/>
              </v:shape>
            </w:pict>
          </mc:Fallback>
        </mc:AlternateContent>
      </w:r>
      <w:r>
        <mc:AlternateContent>
          <mc:Choice Requires="wps">
            <w:drawing>
              <wp:anchor distT="554990" distB="0" distL="114300" distR="666115" simplePos="0" relativeHeight="125829383" behindDoc="0" locked="0" layoutInCell="1" allowOverlap="1">
                <wp:simplePos x="0" y="0"/>
                <wp:positionH relativeFrom="page">
                  <wp:posOffset>702310</wp:posOffset>
                </wp:positionH>
                <wp:positionV relativeFrom="paragraph">
                  <wp:posOffset>567690</wp:posOffset>
                </wp:positionV>
                <wp:extent cx="1307465" cy="252730"/>
                <wp:wrapSquare wrapText="bothSides"/>
                <wp:docPr id="13" name="Shape 13"/>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55.300000000000004pt;margin-top:44.700000000000003pt;width:102.95pt;height:19.900000000000002pt;z-index:-125829370;mso-wrap-distance-left:9.pt;mso-wrap-distance-top:43.700000000000003pt;mso-wrap-distance-right:52.450000000000003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К.А. Сомов</w:t>
      </w:r>
    </w:p>
    <w:p>
      <w:pPr>
        <w:pStyle w:val="Style6"/>
        <w:keepNext w:val="0"/>
        <w:keepLines w:val="0"/>
        <w:widowControl w:val="0"/>
        <w:shd w:val="clear" w:color="auto" w:fill="auto"/>
        <w:bidi w:val="0"/>
        <w:spacing w:before="0" w:after="500" w:line="240" w:lineRule="auto"/>
        <w:ind w:left="0" w:right="0" w:firstLine="0"/>
        <w:jc w:val="right"/>
      </w:pPr>
      <w:r>
        <w:rPr>
          <w:color w:val="000000"/>
          <w:spacing w:val="0"/>
          <w:w w:val="100"/>
          <w:position w:val="0"/>
          <w:shd w:val="clear" w:color="auto" w:fill="auto"/>
          <w:lang w:val="ru-RU" w:eastAsia="ru-RU" w:bidi="ru-RU"/>
        </w:rPr>
        <w:t>Е.Д. Мартьянова</w:t>
      </w:r>
    </w:p>
    <w:p>
      <w:pPr>
        <w:pStyle w:val="Style6"/>
        <w:keepNext w:val="0"/>
        <w:keepLines w:val="0"/>
        <w:widowControl w:val="0"/>
        <w:shd w:val="clear" w:color="auto" w:fill="auto"/>
        <w:bidi w:val="0"/>
        <w:spacing w:before="0" w:after="7140" w:line="240" w:lineRule="auto"/>
        <w:ind w:left="0" w:right="0" w:firstLine="0"/>
        <w:jc w:val="right"/>
      </w:pPr>
      <w:r>
        <w:rPr>
          <w:color w:val="000000"/>
          <w:spacing w:val="0"/>
          <w:w w:val="100"/>
          <w:position w:val="0"/>
          <w:shd w:val="clear" w:color="auto" w:fill="auto"/>
          <w:lang w:val="ru-RU" w:eastAsia="ru-RU" w:bidi="ru-RU"/>
        </w:rPr>
        <w:t>Н.А. Узкий</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18"/>
        <w:keepNext w:val="0"/>
        <w:keepLines w:val="0"/>
        <w:widowControl w:val="0"/>
        <w:shd w:val="clear" w:color="auto" w:fill="auto"/>
        <w:bidi w:val="0"/>
        <w:spacing w:before="0" w:after="500" w:line="240" w:lineRule="auto"/>
        <w:ind w:left="0" w:right="0" w:firstLine="0"/>
        <w:jc w:val="left"/>
      </w:pPr>
      <w:r>
        <w:rPr>
          <w:color w:val="000000"/>
          <w:spacing w:val="0"/>
          <w:w w:val="100"/>
          <w:position w:val="0"/>
          <w:shd w:val="clear" w:color="auto" w:fill="auto"/>
          <w:lang w:val="ru-RU" w:eastAsia="ru-RU" w:bidi="ru-RU"/>
        </w:rPr>
        <w:t>тел.8(495)784-75-05</w:t>
      </w:r>
    </w:p>
    <w:sectPr>
      <w:footnotePr>
        <w:pos w:val="pageBottom"/>
        <w:numFmt w:val="decimal"/>
        <w:numRestart w:val="continuous"/>
      </w:footnotePr>
      <w:pgSz w:w="11900" w:h="16840"/>
      <w:pgMar w:top="1158" w:right="541"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10115550</wp:posOffset>
              </wp:positionV>
              <wp:extent cx="646430" cy="100330"/>
              <wp:wrapNone/>
              <wp:docPr id="7" name="Shape 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2023-1679</w:t>
                          </w:r>
                        </w:p>
                      </w:txbxContent>
                    </wps:txbx>
                    <wps:bodyPr wrap="none" lIns="0" tIns="0" rIns="0" bIns="0">
                      <a:spAutoFit/>
                    </wps:bodyPr>
                  </wps:wsp>
                </a:graphicData>
              </a:graphic>
            </wp:anchor>
          </w:drawing>
        </mc:Choice>
        <mc:Fallback>
          <w:pict>
            <v:shape id="_x0000_s1033" type="#_x0000_t202" style="position:absolute;margin-left:57.350000000000001pt;margin-top:796.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2023-1679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10125710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2023-1679</w:t>
                          </w:r>
                        </w:p>
                      </w:txbxContent>
                    </wps:txbx>
                    <wps:bodyPr wrap="none" lIns="0" tIns="0" rIns="0" bIns="0">
                      <a:spAutoFit/>
                    </wps:bodyPr>
                  </wps:wsp>
                </a:graphicData>
              </a:graphic>
            </wp:anchor>
          </w:drawing>
        </mc:Choice>
        <mc:Fallback>
          <w:pict>
            <v:shape id="_x0000_s1035" type="#_x0000_t202" style="position:absolute;margin-left:56.75pt;margin-top:797.30000000000007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2023-1679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476250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0000000000002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160A9"/>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bCs/>
      <w:i w:val="0"/>
      <w:iCs w:val="0"/>
      <w:smallCaps w:val="0"/>
      <w:strike w:val="0"/>
      <w:sz w:val="28"/>
      <w:szCs w:val="28"/>
      <w:u w:val="none"/>
    </w:rPr>
  </w:style>
  <w:style w:type="character" w:customStyle="1" w:styleId="CharStyle15">
    <w:name w:val="Основной текст (4)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Основной текст (3)_"/>
    <w:basedOn w:val="DefaultParagraphFont"/>
    <w:link w:val="Style1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160A9"/>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spacing w:after="140" w:line="235" w:lineRule="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4">
    <w:name w:val="Основной текст (4)"/>
    <w:basedOn w:val="Normal"/>
    <w:link w:val="CharStyle15"/>
    <w:pPr>
      <w:widowControl w:val="0"/>
      <w:shd w:val="clear" w:color="auto" w:fill="auto"/>
      <w:spacing w:after="380"/>
      <w:ind w:firstLine="360"/>
    </w:pPr>
    <w:rPr>
      <w:rFonts w:ascii="Arial" w:eastAsia="Arial" w:hAnsi="Arial" w:cs="Arial"/>
      <w:b w:val="0"/>
      <w:bCs w:val="0"/>
      <w:i w:val="0"/>
      <w:iCs w:val="0"/>
      <w:smallCaps w:val="0"/>
      <w:strike w:val="0"/>
      <w:sz w:val="34"/>
      <w:szCs w:val="34"/>
      <w:u w:val="none"/>
    </w:rPr>
  </w:style>
  <w:style w:type="paragraph" w:customStyle="1" w:styleId="Style18">
    <w:name w:val="Основной текст (3)"/>
    <w:basedOn w:val="Normal"/>
    <w:link w:val="CharStyle19"/>
    <w:pPr>
      <w:widowControl w:val="0"/>
      <w:shd w:val="clear" w:color="auto" w:fill="auto"/>
      <w:spacing w:after="2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