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658495" cy="71310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58495" cy="713105"/>
                    </a:xfrm>
                    <a:prstGeom prst="rect"/>
                  </pic:spPr>
                </pic:pic>
              </a:graphicData>
            </a:graphic>
          </wp:inline>
        </w:drawing>
      </w:r>
    </w:p>
    <w:p>
      <w:pPr>
        <w:widowControl w:val="0"/>
        <w:spacing w:after="199" w:line="1" w:lineRule="exact"/>
      </w:pPr>
    </w:p>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ФЕДЕРАЛЬНАЯ</w:t>
      </w:r>
    </w:p>
    <w:p>
      <w:pPr>
        <w:pStyle w:val="Style2"/>
        <w:keepNext w:val="0"/>
        <w:keepLines w:val="0"/>
        <w:widowControl w:val="0"/>
        <w:shd w:val="clear" w:color="auto" w:fill="auto"/>
        <w:bidi w:val="0"/>
        <w:spacing w:before="0" w:after="24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АНТИМОНОПОЛЬНАЯ СЛУЖБА</w:t>
      </w:r>
    </w:p>
    <w:p>
      <w:pPr>
        <w:pStyle w:val="Style5"/>
        <w:keepNext/>
        <w:keepLines/>
        <w:widowControl w:val="0"/>
        <w:shd w:val="clear" w:color="auto" w:fill="auto"/>
        <w:bidi w:val="0"/>
        <w:spacing w:before="0" w:after="0" w:line="226" w:lineRule="auto"/>
        <w:ind w:left="0" w:right="0" w:firstLine="0"/>
        <w:jc w:val="center"/>
      </w:pPr>
      <w:bookmarkStart w:id="0" w:name="bookmark0"/>
      <w:r>
        <w:rPr>
          <w:color w:val="000000"/>
          <w:spacing w:val="0"/>
          <w:w w:val="100"/>
          <w:position w:val="0"/>
          <w:sz w:val="24"/>
          <w:szCs w:val="24"/>
          <w:u w:val="none"/>
          <w:shd w:val="clear" w:color="auto" w:fill="auto"/>
          <w:lang w:val="ru-RU" w:eastAsia="ru-RU" w:bidi="ru-RU"/>
        </w:rPr>
        <w:t>УПРАВЛЕНИЕ</w:t>
      </w:r>
      <w:bookmarkEnd w:id="0"/>
    </w:p>
    <w:p>
      <w:pPr>
        <w:pStyle w:val="Style2"/>
        <w:keepNext w:val="0"/>
        <w:keepLines w:val="0"/>
        <w:widowControl w:val="0"/>
        <w:shd w:val="clear" w:color="auto" w:fill="auto"/>
        <w:bidi w:val="0"/>
        <w:spacing w:before="0" w:after="20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Федеральной антимонопольной службы</w:t>
        <w:br/>
        <w:t>по Архангельской области</w:t>
      </w:r>
    </w:p>
    <w:p>
      <w:pPr>
        <w:pStyle w:val="Style8"/>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ул. К;Либкнехта, 2, г: Архангельск, 163'000</w:t>
      </w:r>
    </w:p>
    <w:p>
      <w:pPr>
        <w:pStyle w:val="Style8"/>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ru-RU" w:eastAsia="ru-RU" w:bidi="ru-RU"/>
        </w:rPr>
        <w:t>Тел.: (8182) 20-73-21, Факс: (8182) 21-54-45</w:t>
      </w:r>
    </w:p>
    <w:p>
      <w:pPr>
        <w:pStyle w:val="Style8"/>
        <w:keepNext w:val="0"/>
        <w:keepLines w:val="0"/>
        <w:widowControl w:val="0"/>
        <w:shd w:val="clear" w:color="auto" w:fill="auto"/>
        <w:bidi w:val="0"/>
        <w:spacing w:before="0" w:after="500" w:line="240" w:lineRule="auto"/>
        <w:ind w:left="0" w:right="0" w:firstLine="0"/>
        <w:jc w:val="center"/>
      </w:pPr>
      <w:r>
        <w:rPr>
          <w:color w:val="000000"/>
          <w:spacing w:val="0"/>
          <w:w w:val="100"/>
          <w:position w:val="0"/>
          <w:shd w:val="clear" w:color="auto" w:fill="auto"/>
          <w:lang w:val="ru-RU" w:eastAsia="ru-RU" w:bidi="ru-RU"/>
        </w:rPr>
        <w:t xml:space="preserve">е-таП: </w:t>
      </w:r>
      <w:r>
        <w:rPr>
          <w:color w:val="000000"/>
          <w:spacing w:val="0"/>
          <w:w w:val="100"/>
          <w:position w:val="0"/>
          <w:u w:val="single"/>
          <w:shd w:val="clear" w:color="auto" w:fill="auto"/>
          <w:lang w:val="ru-RU" w:eastAsia="ru-RU" w:bidi="ru-RU"/>
        </w:rPr>
        <w:t>1о29@Га8.еоу.ги</w:t>
      </w:r>
    </w:p>
    <w:p>
      <w:pPr>
        <w:pStyle w:val="Style2"/>
        <w:keepNext w:val="0"/>
        <w:keepLines w:val="0"/>
        <w:widowControl w:val="0"/>
        <w:shd w:val="clear" w:color="auto" w:fill="auto"/>
        <w:tabs>
          <w:tab w:leader="underscore" w:pos="1930" w:val="left"/>
        </w:tabs>
        <w:bidi w:val="0"/>
        <w:spacing w:before="0" w:after="240" w:line="271" w:lineRule="auto"/>
        <w:ind w:left="0" w:right="0" w:firstLine="0"/>
        <w:jc w:val="both"/>
      </w:pPr>
      <w:r>
        <w:rPr>
          <w:color w:val="000000"/>
          <w:spacing w:val="0"/>
          <w:w w:val="100"/>
          <w:position w:val="0"/>
          <w:shd w:val="clear" w:color="auto" w:fill="auto"/>
          <w:lang w:val="ru-RU" w:eastAsia="ru-RU" w:bidi="ru-RU"/>
        </w:rPr>
        <w:tab/>
        <w:t>№</w:t>
      </w:r>
    </w:p>
    <w:p>
      <w:pPr>
        <w:pStyle w:val="Style2"/>
        <w:keepNext w:val="0"/>
        <w:keepLines w:val="0"/>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ru-RU" w:eastAsia="ru-RU" w:bidi="ru-RU"/>
        </w:rPr>
        <w:t xml:space="preserve">На № от </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Дело № 131оз-23</w:t>
      </w:r>
    </w:p>
    <w:p>
      <w:pPr>
        <w:pStyle w:val="Style2"/>
        <w:keepNext w:val="0"/>
        <w:keepLines w:val="0"/>
        <w:widowControl w:val="0"/>
        <w:shd w:val="clear" w:color="auto" w:fill="auto"/>
        <w:bidi w:val="0"/>
        <w:spacing w:before="0" w:after="22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029/06/49-351/2023</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Заказчик :</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ГБУЗ Архангельской области «Архангельский клинический онкологический диспансер»</w:t>
      </w:r>
    </w:p>
    <w:p>
      <w:pPr>
        <w:pStyle w:val="Style2"/>
        <w:keepNext w:val="0"/>
        <w:keepLines w:val="0"/>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ru-RU" w:eastAsia="ru-RU" w:bidi="ru-RU"/>
        </w:rPr>
        <w:t>"163045, г. Архангельск, проспект Обводный</w:t>
      </w:r>
    </w:p>
    <w:p>
      <w:pPr>
        <w:pStyle w:val="Style2"/>
        <w:keepNext w:val="0"/>
        <w:keepLines w:val="0"/>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ru-RU" w:eastAsia="ru-RU" w:bidi="ru-RU"/>
        </w:rPr>
        <w:t>Канал, 145/1</w:t>
      </w:r>
    </w:p>
    <w:p>
      <w:pPr>
        <w:pStyle w:val="Style2"/>
        <w:keepNext w:val="0"/>
        <w:keepLines w:val="0"/>
        <w:widowControl w:val="0"/>
        <w:shd w:val="clear" w:color="auto" w:fill="auto"/>
        <w:bidi w:val="0"/>
        <w:spacing w:before="0" w:after="220" w:line="266" w:lineRule="auto"/>
        <w:ind w:left="0" w:right="0" w:firstLine="0"/>
        <w:jc w:val="left"/>
      </w:pPr>
      <w:r>
        <w:rPr>
          <w:color w:val="000000"/>
          <w:spacing w:val="0"/>
          <w:w w:val="100"/>
          <w:position w:val="0"/>
          <w:shd w:val="clear" w:color="auto" w:fill="auto"/>
          <w:lang w:val="ru-RU" w:eastAsia="ru-RU" w:bidi="ru-RU"/>
        </w:rPr>
        <w:t>Е-таП: 29коп4гак1@таП.ги, кохЬеута@опко29 .ги</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Уполномоченный орган (аукционная комиссия):</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Контрактное агентство Архангельской области</w:t>
      </w:r>
    </w:p>
    <w:p>
      <w:pPr>
        <w:pStyle w:val="Style2"/>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163069, г. Архангельск, ул.Выучейского, д.18</w:t>
      </w:r>
    </w:p>
    <w:p>
      <w:pPr>
        <w:pStyle w:val="Style2"/>
        <w:keepNext w:val="0"/>
        <w:keepLines w:val="0"/>
        <w:widowControl w:val="0"/>
        <w:shd w:val="clear" w:color="auto" w:fill="auto"/>
        <w:bidi w:val="0"/>
        <w:spacing w:before="0" w:after="220" w:line="264" w:lineRule="auto"/>
        <w:ind w:left="0" w:right="0" w:firstLine="0"/>
        <w:jc w:val="left"/>
      </w:pPr>
      <w:r>
        <w:rPr>
          <w:color w:val="000000"/>
          <w:spacing w:val="0"/>
          <w:w w:val="100"/>
          <w:position w:val="0"/>
          <w:shd w:val="clear" w:color="auto" w:fill="auto"/>
          <w:lang w:val="ru-RU" w:eastAsia="ru-RU" w:bidi="ru-RU"/>
        </w:rPr>
        <w:t>Е-таП: &lt;Зкр@сМпа1апс1.ги</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Оператор электронной площадки:</w:t>
      </w:r>
    </w:p>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ООО «РТС-тендер»</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121151, г. Москва, набережная Тараса</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Шевченко, д. 23А</w:t>
      </w:r>
    </w:p>
    <w:p>
      <w:pPr>
        <w:pStyle w:val="Style2"/>
        <w:keepNext w:val="0"/>
        <w:keepLines w:val="0"/>
        <w:widowControl w:val="0"/>
        <w:shd w:val="clear" w:color="auto" w:fill="auto"/>
        <w:bidi w:val="0"/>
        <w:spacing w:before="0" w:after="0" w:line="240" w:lineRule="auto"/>
        <w:ind w:left="0" w:right="0" w:firstLine="0"/>
        <w:jc w:val="left"/>
        <w:sectPr>
          <w:headerReference w:type="default" r:id="rId7"/>
          <w:headerReference w:type="even" r:id="rId8"/>
          <w:footnotePr>
            <w:pos w:val="pageBottom"/>
            <w:numFmt w:val="decimal"/>
            <w:numRestart w:val="continuous"/>
          </w:footnotePr>
          <w:pgSz w:w="11900" w:h="16840"/>
          <w:pgMar w:top="795" w:right="1052" w:bottom="514" w:left="1590" w:header="0" w:footer="3" w:gutter="0"/>
          <w:pgNumType w:start="1"/>
          <w:cols w:num="2" w:space="437"/>
          <w:noEndnote/>
          <w:rtlGutter w:val="0"/>
          <w:docGrid w:linePitch="360"/>
        </w:sectPr>
      </w:pPr>
      <w:r>
        <w:rPr>
          <w:color w:val="000000"/>
          <w:spacing w:val="0"/>
          <w:w w:val="100"/>
          <w:position w:val="0"/>
          <w:shd w:val="clear" w:color="auto" w:fill="auto"/>
          <w:lang w:val="ru-RU" w:eastAsia="ru-RU" w:bidi="ru-RU"/>
        </w:rPr>
        <w:t>Е-таП: ко@118-1еп(1ег.ги</w:t>
      </w:r>
    </w:p>
    <w:p>
      <w:pPr>
        <w:widowControl w:val="0"/>
        <w:spacing w:line="114" w:lineRule="exact"/>
        <w:rPr>
          <w:sz w:val="9"/>
          <w:szCs w:val="9"/>
        </w:rPr>
      </w:pPr>
    </w:p>
    <w:p>
      <w:pPr>
        <w:widowControl w:val="0"/>
        <w:spacing w:line="1" w:lineRule="exact"/>
        <w:sectPr>
          <w:footnotePr>
            <w:pos w:val="pageBottom"/>
            <w:numFmt w:val="decimal"/>
            <w:numRestart w:val="continuous"/>
          </w:footnotePr>
          <w:type w:val="continuous"/>
          <w:pgSz w:w="11900" w:h="16840"/>
          <w:pgMar w:top="740" w:right="0" w:bottom="553"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5240" w:right="0" w:firstLine="0"/>
        <w:jc w:val="left"/>
        <w:rPr>
          <w:sz w:val="22"/>
          <w:szCs w:val="22"/>
        </w:rPr>
      </w:pPr>
      <w:r>
        <w:rPr>
          <w:b/>
          <w:bCs/>
          <w:color w:val="000000"/>
          <w:spacing w:val="0"/>
          <w:w w:val="100"/>
          <w:position w:val="0"/>
          <w:sz w:val="22"/>
          <w:szCs w:val="22"/>
          <w:u w:val="single"/>
          <w:shd w:val="clear" w:color="auto" w:fill="auto"/>
          <w:lang w:val="ru-RU" w:eastAsia="ru-RU" w:bidi="ru-RU"/>
        </w:rPr>
        <w:t>Заявитель:</w:t>
      </w:r>
    </w:p>
    <w:p>
      <w:pPr>
        <w:pStyle w:val="Style2"/>
        <w:keepNext w:val="0"/>
        <w:keepLines w:val="0"/>
        <w:widowControl w:val="0"/>
        <w:shd w:val="clear" w:color="auto" w:fill="auto"/>
        <w:bidi w:val="0"/>
        <w:spacing w:before="0" w:after="0" w:line="240" w:lineRule="auto"/>
        <w:ind w:left="5240" w:right="0" w:firstLine="20"/>
        <w:jc w:val="left"/>
        <w:rPr>
          <w:sz w:val="22"/>
          <w:szCs w:val="22"/>
        </w:rPr>
      </w:pPr>
      <w:r>
        <w:rPr>
          <w:b/>
          <w:bCs/>
          <w:color w:val="000000"/>
          <w:spacing w:val="0"/>
          <w:w w:val="100"/>
          <w:position w:val="0"/>
          <w:sz w:val="22"/>
          <w:szCs w:val="22"/>
          <w:shd w:val="clear" w:color="auto" w:fill="auto"/>
          <w:lang w:val="ru-RU" w:eastAsia="ru-RU" w:bidi="ru-RU"/>
        </w:rPr>
        <w:t>ООО «Научно-технический центр «Орион»</w:t>
      </w:r>
    </w:p>
    <w:p>
      <w:pPr>
        <w:pStyle w:val="Style2"/>
        <w:keepNext w:val="0"/>
        <w:keepLines w:val="0"/>
        <w:widowControl w:val="0"/>
        <w:shd w:val="clear" w:color="auto" w:fill="auto"/>
        <w:bidi w:val="0"/>
        <w:spacing w:before="0" w:after="0" w:line="264" w:lineRule="auto"/>
        <w:ind w:left="5240" w:right="0" w:firstLine="20"/>
        <w:jc w:val="left"/>
      </w:pPr>
      <w:r>
        <w:rPr>
          <w:color w:val="000000"/>
          <w:spacing w:val="0"/>
          <w:w w:val="100"/>
          <w:position w:val="0"/>
          <w:shd w:val="clear" w:color="auto" w:fill="auto"/>
          <w:lang w:val="ru-RU" w:eastAsia="ru-RU" w:bidi="ru-RU"/>
        </w:rPr>
        <w:t>164502, Архангельская обл., г.Северодвинск, пр. Победы, д. 57а, пом. 1Н</w:t>
      </w:r>
    </w:p>
    <w:p>
      <w:pPr>
        <w:pStyle w:val="Style2"/>
        <w:keepNext w:val="0"/>
        <w:keepLines w:val="0"/>
        <w:widowControl w:val="0"/>
        <w:shd w:val="clear" w:color="auto" w:fill="auto"/>
        <w:bidi w:val="0"/>
        <w:spacing w:before="0" w:after="260" w:line="264" w:lineRule="auto"/>
        <w:ind w:left="5240" w:right="0" w:firstLine="0"/>
        <w:jc w:val="left"/>
      </w:pPr>
      <w:r>
        <w:rPr>
          <w:color w:val="000000"/>
          <w:spacing w:val="0"/>
          <w:w w:val="100"/>
          <w:position w:val="0"/>
          <w:shd w:val="clear" w:color="auto" w:fill="auto"/>
          <w:lang w:val="ru-RU" w:eastAsia="ru-RU" w:bidi="ru-RU"/>
        </w:rPr>
        <w:t>Е-таИ: п1е-опоп@тЬох.ги</w:t>
      </w:r>
    </w:p>
    <w:p>
      <w:pPr>
        <w:pStyle w:val="Style5"/>
        <w:keepNext/>
        <w:keepLines/>
        <w:widowControl w:val="0"/>
        <w:shd w:val="clear" w:color="auto" w:fill="auto"/>
        <w:bidi w:val="0"/>
        <w:spacing w:before="0" w:after="100" w:line="240" w:lineRule="auto"/>
        <w:ind w:left="0" w:right="0" w:firstLine="0"/>
        <w:jc w:val="center"/>
      </w:pPr>
      <w:bookmarkStart w:id="2" w:name="bookmark2"/>
      <w:r>
        <w:rPr>
          <w:color w:val="000000"/>
          <w:spacing w:val="0"/>
          <w:w w:val="100"/>
          <w:position w:val="0"/>
          <w:sz w:val="24"/>
          <w:szCs w:val="24"/>
          <w:u w:val="none"/>
          <w:shd w:val="clear" w:color="auto" w:fill="auto"/>
          <w:lang w:val="ru-RU" w:eastAsia="ru-RU" w:bidi="ru-RU"/>
        </w:rPr>
        <w:t>РЕШЕНИЕ</w:t>
      </w:r>
      <w:bookmarkEnd w:id="2"/>
    </w:p>
    <w:p>
      <w:pPr>
        <w:pStyle w:val="Style5"/>
        <w:keepNext/>
        <w:keepLines/>
        <w:widowControl w:val="0"/>
        <w:shd w:val="clear" w:color="auto" w:fill="auto"/>
        <w:tabs>
          <w:tab w:pos="7910" w:val="left"/>
        </w:tabs>
        <w:bidi w:val="0"/>
        <w:spacing w:before="0" w:after="160" w:line="240" w:lineRule="auto"/>
        <w:ind w:left="0" w:right="0" w:firstLine="0"/>
        <w:jc w:val="both"/>
      </w:pPr>
      <w:bookmarkStart w:id="4" w:name="bookmark4"/>
      <w:r>
        <w:rPr>
          <w:color w:val="000000"/>
          <w:spacing w:val="0"/>
          <w:w w:val="100"/>
          <w:position w:val="0"/>
          <w:sz w:val="24"/>
          <w:szCs w:val="24"/>
          <w:u w:val="none"/>
          <w:shd w:val="clear" w:color="auto" w:fill="auto"/>
          <w:lang w:val="ru-RU" w:eastAsia="ru-RU" w:bidi="ru-RU"/>
        </w:rPr>
        <w:t>02 мая 2023 года</w:t>
        <w:tab/>
        <w:t>г. Архангельск</w:t>
      </w:r>
      <w:bookmarkEnd w:id="4"/>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5"/>
        <w:keepNext/>
        <w:keepLines/>
        <w:widowControl w:val="0"/>
        <w:shd w:val="clear" w:color="auto" w:fill="auto"/>
        <w:bidi w:val="0"/>
        <w:spacing w:before="0" w:after="100" w:line="240" w:lineRule="auto"/>
        <w:ind w:left="0" w:right="0" w:firstLine="580"/>
        <w:jc w:val="both"/>
      </w:pPr>
      <w:bookmarkStart w:id="6" w:name="bookmark6"/>
      <w:r>
        <w:rPr>
          <w:color w:val="000000"/>
          <w:spacing w:val="0"/>
          <w:w w:val="100"/>
          <w:position w:val="0"/>
          <w:sz w:val="24"/>
          <w:szCs w:val="24"/>
          <w:shd w:val="clear" w:color="auto" w:fill="auto"/>
          <w:lang w:val="ru-RU" w:eastAsia="ru-RU" w:bidi="ru-RU"/>
        </w:rPr>
        <w:t>Председатель комиссии:</w:t>
      </w:r>
      <w:bookmarkEnd w:id="6"/>
    </w:p>
    <w:p>
      <w:pPr>
        <w:pStyle w:val="Style12"/>
        <w:keepNext w:val="0"/>
        <w:keepLines w:val="0"/>
        <w:widowControl w:val="0"/>
        <w:shd w:val="clear" w:color="auto" w:fill="auto"/>
        <w:tabs>
          <w:tab w:pos="2179"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Малышева О.С.</w:t>
        <w:tab/>
        <w:t>Заместитель руководителя Управления - начальник отдела контроля</w:t>
      </w:r>
    </w:p>
    <w:p>
      <w:pPr>
        <w:pStyle w:val="Style12"/>
        <w:keepNext w:val="0"/>
        <w:keepLines w:val="0"/>
        <w:widowControl w:val="0"/>
        <w:shd w:val="clear" w:color="auto" w:fill="auto"/>
        <w:bidi w:val="0"/>
        <w:spacing w:before="0" w:after="100" w:line="240" w:lineRule="auto"/>
        <w:ind w:left="2240" w:right="0" w:firstLine="0"/>
        <w:jc w:val="left"/>
      </w:pPr>
      <w:r>
        <w:rPr>
          <w:color w:val="000000"/>
          <w:spacing w:val="0"/>
          <w:w w:val="100"/>
          <w:position w:val="0"/>
          <w:sz w:val="24"/>
          <w:szCs w:val="24"/>
          <w:shd w:val="clear" w:color="auto" w:fill="auto"/>
          <w:lang w:val="ru-RU" w:eastAsia="ru-RU" w:bidi="ru-RU"/>
        </w:rPr>
        <w:t>закупок;</w:t>
      </w:r>
    </w:p>
    <w:p>
      <w:pPr>
        <w:pStyle w:val="Style5"/>
        <w:keepNext/>
        <w:keepLines/>
        <w:widowControl w:val="0"/>
        <w:shd w:val="clear" w:color="auto" w:fill="auto"/>
        <w:bidi w:val="0"/>
        <w:spacing w:before="0" w:after="0" w:line="240" w:lineRule="auto"/>
        <w:ind w:left="0" w:right="0" w:firstLine="580"/>
        <w:jc w:val="both"/>
      </w:pPr>
      <w:bookmarkStart w:id="8" w:name="bookmark8"/>
      <w:r>
        <w:rPr>
          <w:color w:val="000000"/>
          <w:spacing w:val="0"/>
          <w:w w:val="100"/>
          <w:position w:val="0"/>
          <w:sz w:val="24"/>
          <w:szCs w:val="24"/>
          <w:shd w:val="clear" w:color="auto" w:fill="auto"/>
          <w:lang w:val="ru-RU" w:eastAsia="ru-RU" w:bidi="ru-RU"/>
        </w:rPr>
        <w:t>Члены комиссии:</w:t>
      </w:r>
      <w:bookmarkEnd w:id="8"/>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Вознесенская Н.В. Главный специалист-эксперт отдела контроля закупок;</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Романова Д.С. Главный специалист-эксперт отдела контроля закупок;</w:t>
      </w:r>
    </w:p>
    <w:p>
      <w:pPr>
        <w:pStyle w:val="Style12"/>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5"/>
        <w:keepNext/>
        <w:keepLines/>
        <w:widowControl w:val="0"/>
        <w:shd w:val="clear" w:color="auto" w:fill="auto"/>
        <w:bidi w:val="0"/>
        <w:spacing w:before="0" w:after="0" w:line="240" w:lineRule="auto"/>
        <w:ind w:left="0" w:right="0" w:firstLine="720"/>
        <w:jc w:val="both"/>
      </w:pPr>
      <w:bookmarkStart w:id="10" w:name="bookmark10"/>
      <w:r>
        <w:rPr>
          <w:color w:val="000000"/>
          <w:spacing w:val="0"/>
          <w:w w:val="100"/>
          <w:position w:val="0"/>
          <w:sz w:val="24"/>
          <w:szCs w:val="24"/>
          <w:shd w:val="clear" w:color="auto" w:fill="auto"/>
          <w:lang w:val="ru-RU" w:eastAsia="ru-RU" w:bidi="ru-RU"/>
        </w:rPr>
        <w:t>в присутствии представителей от:</w:t>
      </w:r>
      <w:bookmarkEnd w:id="10"/>
    </w:p>
    <w:p>
      <w:pPr>
        <w:pStyle w:val="Style12"/>
        <w:keepNext w:val="0"/>
        <w:keepLines w:val="0"/>
        <w:widowControl w:val="0"/>
        <w:shd w:val="clear" w:color="auto" w:fill="auto"/>
        <w:bidi w:val="0"/>
        <w:spacing w:before="0" w:after="100" w:line="228" w:lineRule="auto"/>
        <w:ind w:left="0" w:right="0" w:firstLine="720"/>
        <w:jc w:val="both"/>
      </w:pPr>
      <w:r>
        <w:rPr>
          <w:b/>
          <w:bCs/>
          <w:color w:val="000000"/>
          <w:spacing w:val="0"/>
          <w:w w:val="100"/>
          <w:position w:val="0"/>
          <w:sz w:val="24"/>
          <w:szCs w:val="24"/>
          <w:shd w:val="clear" w:color="auto" w:fill="auto"/>
          <w:lang w:val="ru-RU" w:eastAsia="ru-RU" w:bidi="ru-RU"/>
        </w:rPr>
        <w:t xml:space="preserve">Уполномоченного органа: </w:t>
      </w:r>
      <w:r>
        <w:rPr>
          <w:color w:val="000000"/>
          <w:spacing w:val="0"/>
          <w:w w:val="100"/>
          <w:position w:val="0"/>
          <w:sz w:val="24"/>
          <w:szCs w:val="24"/>
          <w:shd w:val="clear" w:color="auto" w:fill="auto"/>
          <w:lang w:val="ru-RU" w:eastAsia="ru-RU" w:bidi="ru-RU"/>
        </w:rPr>
        <w:t>Низовцева Д.Б. (доверенность от 10.06.2022 №77-Д).</w:t>
      </w:r>
    </w:p>
    <w:p>
      <w:pPr>
        <w:pStyle w:val="Style12"/>
        <w:keepNext w:val="0"/>
        <w:keepLines w:val="0"/>
        <w:widowControl w:val="0"/>
        <w:shd w:val="clear" w:color="auto" w:fill="auto"/>
        <w:bidi w:val="0"/>
        <w:spacing w:before="0" w:after="140" w:line="240" w:lineRule="auto"/>
        <w:ind w:left="0" w:right="0" w:firstLine="740"/>
        <w:jc w:val="both"/>
      </w:pPr>
      <w:r>
        <w:rPr>
          <w:b/>
          <w:bCs/>
          <w:color w:val="000000"/>
          <w:spacing w:val="0"/>
          <w:w w:val="100"/>
          <w:position w:val="0"/>
          <w:sz w:val="24"/>
          <w:szCs w:val="24"/>
          <w:shd w:val="clear" w:color="auto" w:fill="auto"/>
          <w:lang w:val="ru-RU" w:eastAsia="ru-RU" w:bidi="ru-RU"/>
        </w:rPr>
        <w:t xml:space="preserve">Заказчик, Заявитель </w:t>
      </w:r>
      <w:r>
        <w:rPr>
          <w:color w:val="000000"/>
          <w:spacing w:val="0"/>
          <w:w w:val="100"/>
          <w:position w:val="0"/>
          <w:sz w:val="24"/>
          <w:szCs w:val="24"/>
          <w:shd w:val="clear" w:color="auto" w:fill="auto"/>
          <w:lang w:val="ru-RU" w:eastAsia="ru-RU" w:bidi="ru-RU"/>
        </w:rPr>
        <w:t>уведомлены надлежащим образом о времени и месте рассмотрения настоящего дела, своих представителей не направили.</w:t>
      </w:r>
    </w:p>
    <w:p>
      <w:pPr>
        <w:pStyle w:val="Style5"/>
        <w:keepNext/>
        <w:keepLines/>
        <w:widowControl w:val="0"/>
        <w:shd w:val="clear" w:color="auto" w:fill="auto"/>
        <w:bidi w:val="0"/>
        <w:spacing w:before="0" w:after="0" w:line="240" w:lineRule="auto"/>
        <w:ind w:left="0" w:right="0" w:firstLine="0"/>
        <w:jc w:val="center"/>
      </w:pPr>
      <w:bookmarkStart w:id="12" w:name="bookmark12"/>
      <w:r>
        <w:rPr>
          <w:color w:val="000000"/>
          <w:spacing w:val="0"/>
          <w:w w:val="100"/>
          <w:position w:val="0"/>
          <w:sz w:val="24"/>
          <w:szCs w:val="24"/>
          <w:u w:val="none"/>
          <w:shd w:val="clear" w:color="auto" w:fill="auto"/>
          <w:lang w:val="ru-RU" w:eastAsia="ru-RU" w:bidi="ru-RU"/>
        </w:rPr>
        <w:t>УСТАНОВИЛА:</w:t>
      </w:r>
      <w:bookmarkEnd w:id="12"/>
    </w:p>
    <w:p>
      <w:pPr>
        <w:pStyle w:val="Style12"/>
        <w:keepNext w:val="0"/>
        <w:keepLines w:val="0"/>
        <w:widowControl w:val="0"/>
        <w:shd w:val="clear" w:color="auto" w:fill="auto"/>
        <w:bidi w:val="0"/>
        <w:spacing w:before="0" w:after="140" w:line="240" w:lineRule="auto"/>
        <w:ind w:left="0" w:right="0" w:firstLine="740"/>
        <w:jc w:val="both"/>
      </w:pPr>
      <w:r>
        <w:rPr>
          <w:color w:val="000000"/>
          <w:spacing w:val="0"/>
          <w:w w:val="100"/>
          <w:position w:val="0"/>
          <w:sz w:val="24"/>
          <w:szCs w:val="24"/>
          <w:shd w:val="clear" w:color="auto" w:fill="auto"/>
          <w:lang w:val="ru-RU" w:eastAsia="ru-RU" w:bidi="ru-RU"/>
        </w:rPr>
        <w:t>26 июня 2023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«Научно-технический центр «Орион» (далее - Заявитель) на действия аукционной комиссии, созданной Уполномоченным органом - Контрактным агентством Архангельской области (далее - Уполномоченный орган, аукционная комиссия), при проведении электронного аукциона на право заключения контракта на оказание услуг по техническому обслуживанию медицинской техники С-дуга ХеИмп УЫоп (извещение №0124200000623002170).</w:t>
      </w:r>
    </w:p>
    <w:p>
      <w:pPr>
        <w:pStyle w:val="Style5"/>
        <w:keepNext/>
        <w:keepLines/>
        <w:widowControl w:val="0"/>
        <w:shd w:val="clear" w:color="auto" w:fill="auto"/>
        <w:bidi w:val="0"/>
        <w:spacing w:before="0" w:after="0" w:line="240" w:lineRule="auto"/>
        <w:ind w:left="0" w:right="0" w:firstLine="740"/>
        <w:jc w:val="both"/>
      </w:pPr>
      <w:bookmarkStart w:id="14" w:name="bookmark14"/>
      <w:r>
        <w:rPr>
          <w:color w:val="000000"/>
          <w:spacing w:val="0"/>
          <w:w w:val="100"/>
          <w:position w:val="0"/>
          <w:sz w:val="24"/>
          <w:szCs w:val="24"/>
          <w:shd w:val="clear" w:color="auto" w:fill="auto"/>
          <w:lang w:val="ru-RU" w:eastAsia="ru-RU" w:bidi="ru-RU"/>
        </w:rPr>
        <w:t>Содержание жалобы:</w:t>
      </w:r>
      <w:bookmarkEnd w:id="14"/>
    </w:p>
    <w:p>
      <w:pPr>
        <w:pStyle w:val="Style12"/>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Обжалуются действия аукционной комиссии, созданной Уполномоченным органом, в связи с отклонением заявки ООО «Научно-технический центр «Орион» по результатам рассмотрения заявок на участие в электронном аукционе.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Уполномоченный орган не согласен с доводами Заявителя по основаниям, изложенным в объяснении по жалобе от 28.04.2023 №314-05-271.</w:t>
      </w:r>
    </w:p>
    <w:p>
      <w:pPr>
        <w:pStyle w:val="Style12"/>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Заказчик - ГБУЗ Архангельской области «Архангельский клинический онкологический диспансер», письменных объяснений по жалобе в адрес Архангельского УФАС России не представил.</w:t>
      </w:r>
    </w:p>
    <w:p>
      <w:pPr>
        <w:pStyle w:val="Style12"/>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10.04.2023 Уполномоченным органом на официальном сайте единой информационной системы в сфере закупок в сети Интернет Ьйр://2акирк1.§оу.ги размещено извещение №0124200000623002170 о проведении электронного аукциона на право заключения контракта на оказание услуг по техническому обслуживанию медицинской техники С-дуга 2ейгт Ухзюп (далее - Извещение).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- 160 000,00 рублей.</w:t>
      </w:r>
    </w:p>
    <w:p>
      <w:pPr>
        <w:pStyle w:val="Style12"/>
        <w:keepNext w:val="0"/>
        <w:keepLines w:val="0"/>
        <w:widowControl w:val="0"/>
        <w:shd w:val="clear" w:color="auto" w:fill="auto"/>
        <w:bidi w:val="0"/>
        <w:spacing w:before="0" w:after="140" w:line="240" w:lineRule="auto"/>
        <w:ind w:left="0" w:right="0" w:firstLine="740"/>
        <w:jc w:val="both"/>
      </w:pPr>
      <w:r>
        <w:rPr>
          <w:color w:val="000000"/>
          <w:spacing w:val="0"/>
          <w:w w:val="100"/>
          <w:position w:val="0"/>
          <w:sz w:val="24"/>
          <w:szCs w:val="24"/>
          <w:shd w:val="clear" w:color="auto" w:fill="auto"/>
          <w:lang w:val="ru-RU" w:eastAsia="ru-RU" w:bidi="ru-RU"/>
        </w:rPr>
        <w:t>Оператор электронной площадки - ООО «РТС-тендер».</w:t>
      </w:r>
    </w:p>
    <w:p>
      <w:pPr>
        <w:pStyle w:val="Style8"/>
        <w:keepNext w:val="0"/>
        <w:keepLines w:val="0"/>
        <w:widowControl w:val="0"/>
        <w:shd w:val="clear" w:color="auto" w:fill="auto"/>
        <w:tabs>
          <w:tab w:leader="underscore" w:pos="7188" w:val="left"/>
          <w:tab w:leader="underscore" w:pos="7292" w:val="left"/>
          <w:tab w:leader="underscore" w:pos="9206"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ab/>
        <w:tab/>
        <w:tab/>
        <w:t>дз/б</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12.04.2023 внесены изменения в извещение (далее - Изменения).</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от 20.04.2023 на участие в электронном аукционе было подано 2 заявки, которым были присвоены идентификационные номера 114043294, 114042137. Обе заявки отклонены от участия в закупке.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ходе изучения материалов дела установлено, что заявка Заявителя была зарегистрирована под номером 114042137.</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протоколу подведения итогов определения поставщика от 20.04.2023 заявка № 114042137 отклонена «по основаниям предусмотренным </w:t>
      </w:r>
      <w:r>
        <w:rPr>
          <w:b/>
          <w:bCs/>
          <w:color w:val="000000"/>
          <w:spacing w:val="0"/>
          <w:w w:val="100"/>
          <w:position w:val="0"/>
          <w:sz w:val="24"/>
          <w:szCs w:val="24"/>
          <w:shd w:val="clear" w:color="auto" w:fill="auto"/>
          <w:lang w:val="ru-RU" w:eastAsia="ru-RU" w:bidi="ru-RU"/>
        </w:rPr>
        <w:t xml:space="preserve">пунктом 1 части 12 статьи 48 </w:t>
      </w:r>
      <w:r>
        <w:rPr>
          <w:color w:val="000000"/>
          <w:spacing w:val="0"/>
          <w:w w:val="100"/>
          <w:position w:val="0"/>
          <w:sz w:val="24"/>
          <w:szCs w:val="24"/>
          <w:shd w:val="clear" w:color="auto" w:fill="auto"/>
          <w:lang w:val="ru-RU" w:eastAsia="ru-RU" w:bidi="ru-RU"/>
        </w:rPr>
        <w:t xml:space="preserve">Закона 44-ФЗ, в связи с </w:t>
      </w:r>
      <w:r>
        <w:rPr>
          <w:b/>
          <w:bCs/>
          <w:color w:val="000000"/>
          <w:spacing w:val="0"/>
          <w:w w:val="100"/>
          <w:position w:val="0"/>
          <w:sz w:val="24"/>
          <w:szCs w:val="24"/>
          <w:shd w:val="clear" w:color="auto" w:fill="auto"/>
          <w:lang w:val="ru-RU" w:eastAsia="ru-RU" w:bidi="ru-RU"/>
        </w:rPr>
        <w:t xml:space="preserve">непредставлением </w:t>
      </w:r>
      <w:r>
        <w:rPr>
          <w:color w:val="000000"/>
          <w:spacing w:val="0"/>
          <w:w w:val="100"/>
          <w:position w:val="0"/>
          <w:sz w:val="24"/>
          <w:szCs w:val="24"/>
          <w:shd w:val="clear" w:color="auto" w:fill="auto"/>
          <w:lang w:val="ru-RU" w:eastAsia="ru-RU" w:bidi="ru-RU"/>
        </w:rPr>
        <w:t xml:space="preserve">участником закупки информации и документов, предусмотренных извещением об осуществлении закупки в соответствии с Законом № 44-ФЗ, а именно: </w:t>
      </w:r>
      <w:r>
        <w:rPr>
          <w:b/>
          <w:bCs/>
          <w:color w:val="000000"/>
          <w:spacing w:val="0"/>
          <w:w w:val="100"/>
          <w:position w:val="0"/>
          <w:sz w:val="24"/>
          <w:szCs w:val="24"/>
          <w:shd w:val="clear" w:color="auto" w:fill="auto"/>
          <w:lang w:val="ru-RU" w:eastAsia="ru-RU" w:bidi="ru-RU"/>
        </w:rPr>
        <w:t>участником закупки не представлены документы, подтверждающие соответствие участника закупки требованиям, установленным пунктом 1 части 1 статьи 31 Закона № 44-ФЗ:</w:t>
      </w:r>
    </w:p>
    <w:p>
      <w:pPr>
        <w:pStyle w:val="Style12"/>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 xml:space="preserve">Выписка из реестра лицензий или копия акта лицензирующего органа </w:t>
      </w:r>
      <w:r>
        <w:rPr>
          <w:color w:val="000000"/>
          <w:spacing w:val="0"/>
          <w:w w:val="100"/>
          <w:position w:val="0"/>
          <w:sz w:val="24"/>
          <w:szCs w:val="24"/>
          <w:shd w:val="clear" w:color="auto" w:fill="auto"/>
          <w:lang w:val="ru-RU" w:eastAsia="ru-RU" w:bidi="ru-RU"/>
        </w:rPr>
        <w:t>о принятом решении на осуществление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по следующим видам работ: техническое обслуживание источников ионизирующего излучения (генерирующих) или техническое обслуживание аппаратов рентгеновских медицинских или техническое обслуживание медицинского рентгеновского оборудования или техническое обслуживание источников ионизирующего излучения для медицинских целей.</w:t>
      </w:r>
    </w:p>
    <w:p>
      <w:pPr>
        <w:pStyle w:val="Style12"/>
        <w:keepNext w:val="0"/>
        <w:keepLines w:val="0"/>
        <w:widowControl w:val="0"/>
        <w:shd w:val="clear" w:color="auto" w:fill="auto"/>
        <w:bidi w:val="0"/>
        <w:spacing w:before="0" w:after="260" w:line="240" w:lineRule="auto"/>
        <w:ind w:left="0" w:right="0" w:firstLine="740"/>
        <w:jc w:val="both"/>
      </w:pPr>
      <w:r>
        <w:rPr>
          <w:b/>
          <w:bCs/>
          <w:color w:val="000000"/>
          <w:spacing w:val="0"/>
          <w:w w:val="100"/>
          <w:position w:val="0"/>
          <w:sz w:val="24"/>
          <w:szCs w:val="24"/>
          <w:shd w:val="clear" w:color="auto" w:fill="auto"/>
          <w:lang w:val="ru-RU" w:eastAsia="ru-RU" w:bidi="ru-RU"/>
        </w:rPr>
        <w:t>В заявке представлена скан-копия лицензии, требования к которой отсутствуют в извещении».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подпункта "н" пункта 1 части 1 статьи 43 ФЗ «О контрактной системе» для участия в конкурентном способе заявка на участие в закупке, если иное не предусмотрено указанным Федеральным законом, должна содержать документы, подтверждающие соответствие участника закупки требованиям, установленным пунктом 1 части 1 статьи 31 названного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указанного Федерального закона, если иное не предусмотрено данным Федеральным законом.</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 части 1 статьи 31 ФЗ «О контрактной системе» предусмотрено,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указанного Федерального закона, заказчик устанавливает единые требования к участникам закупки, в частности,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Частью 6 статьи 31 ФЗ «О контрактной системе» определено, что Заказчики не вправе устанавливать требования к участникам закупок в нарушение требований указанного Федерального закона.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в случае, если предметом закупки является поставка товара, выполнение работы или оказание услуги, для осуществления которых необходима соответствующая лицензия, свидетельство или иной документ в силу положений законодательства Российской Федерации, заказчик устанавливает требование к участникам закупки о наличии соответствующего документа.</w:t>
      </w:r>
    </w:p>
    <w:p>
      <w:pPr>
        <w:pStyle w:val="Style12"/>
        <w:keepNext w:val="0"/>
        <w:keepLines w:val="0"/>
        <w:widowControl w:val="0"/>
        <w:shd w:val="clear" w:color="auto" w:fill="auto"/>
        <w:bidi w:val="0"/>
        <w:spacing w:before="0" w:after="0" w:line="240" w:lineRule="auto"/>
        <w:ind w:left="0" w:right="0" w:firstLine="740"/>
        <w:jc w:val="both"/>
        <w:sectPr>
          <w:footnotePr>
            <w:pos w:val="pageBottom"/>
            <w:numFmt w:val="decimal"/>
            <w:numRestart w:val="continuous"/>
          </w:footnotePr>
          <w:type w:val="continuous"/>
          <w:pgSz w:w="11900" w:h="16840"/>
          <w:pgMar w:top="740" w:right="957" w:bottom="553" w:left="127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пункту 2 статьи 3 Федерального закона от 04.05.2011 № 99-ФЗ "О лицензировании отдельных видов деятельности" (далее - Закон о лицензировании) лицензия - это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составляющих лицензируемый вид деятельности), которое подтверждается записью в реестре лицензий.</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Пунктом 17 части 1 статьи 12 Закона о лицензировании установлено, что лицензированию подлежит деятельность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Частью 8 статьи 21 Закона о лицензировании установлено, что сведения о конкретной лицензии по выбору заявителя предоставляются ему также в форме электронного документа, подписанного усиленной квалифицированной электронной подписью, в виде выписки из реестра лицензий, либо в виде копии акта лицензирующего органа о принятом решении, либо в виде справки об отсутствии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 Указанные сведения предоставляются заявителю в срок, не превышающий трех рабочих дней с момента получения заявления о предоставлении таких сведений. Возможность подачи заявления о предоставлении сведений о конкретной лицензии должна быть обеспечена заявителю посредством использования единого портала государственных и муниципальных услуг (за исключением случаев, если лицензирующим органом является федеральный орган исполнительной власти, уполномоченный в области противодействия техническим разведкам и технической защиты информации). Дополнительно возможность подачи заявления о предоставлении сведений о конкретной лицензии может быть обеспечена посредством использования региональных порталов государственных и муниципальных услуг и иных информационных систем.</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Пунктом 22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(далее - Постановление № 2343) установлено, что по заявлению заинтересованного лица сведения о конкретной лицензии предоставляются в порядке, предусмотренном в части 8 статьи 21 Закона о лицензировании, в форме выписки из реестра лицензий, либо копии акта лицензирующего органа о принятом решении, либо справки об отсутствии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письме Министерства экономического развития Российской Федерации от 23.04.2021 № Д24и-12191, в том числе указано:</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"2. По вопросу указания бумажной лицензии в документации о закупке в качестве одного из документов, подтверждающих наличие лицензии, сообщаем.</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 1 января 2021 года бумажная лицензия не подтверждает наличие у лицензиата лицензии.</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После 1 января 2021 года подтверждением наличия лицензий, является запись в реестре".</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Таким образом, с 01 января 2021 года бумажная лицензия не подтверждает наличие у лицензиата лицензии.</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основании изложенного формой подтверждения наличия специальной правоспособности участников закупки по предмету закупки является выписка из реестра лицензий либо копия акта лицензирующего органа о конкретной лицензии.</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пункте 2 части 1 документа «Требования к содержанию, составу заявки на участие в закупке и инструкция по ее заполнению» Извещения установлено, что Заявка на участие в закупке должна содержать, в том числе, документы, подтверждающие соответствие участника закупки требованиям, установленным пунктом 1 части 1 статьи 31 ФЗ «О контрактной системе»: УСТАНОВЛЕНО В ИЗВЕЩЕНИИ.</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пункте «Требования к участникам» раздела «Преимущества и требования к участникам» Извещения определены требования к участникам закупок в соответствии с пунктом 1 части 1 статьи 31 ФЗ «О контрактной системе», а именно:</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А) Выписка из реестра лицензий или копия акта лицензирующего органа о принятом решении на осуществление деятельности по производству и техническому обслуживанию</w:t>
      </w:r>
    </w:p>
    <w:p>
      <w:pPr>
        <w:pStyle w:val="Style12"/>
        <w:keepNext w:val="0"/>
        <w:keepLines w:val="0"/>
        <w:widowControl w:val="0"/>
        <w:shd w:val="clear" w:color="auto" w:fill="auto"/>
        <w:tabs>
          <w:tab w:leader="underscore" w:pos="2107" w:val="left"/>
          <w:tab w:leader="underscore" w:pos="2270" w:val="left"/>
          <w:tab w:leader="underscore" w:pos="920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ab/>
        <w:tab/>
        <w:tab/>
      </w:r>
      <w:r>
        <w:rPr>
          <w:color w:val="000000"/>
          <w:spacing w:val="0"/>
          <w:w w:val="100"/>
          <w:position w:val="0"/>
          <w:sz w:val="24"/>
          <w:szCs w:val="24"/>
          <w:u w:val="single"/>
          <w:shd w:val="clear" w:color="auto" w:fill="auto"/>
          <w:lang w:val="ru-RU" w:eastAsia="ru-RU" w:bidi="ru-RU"/>
        </w:rPr>
        <w:t xml:space="preserve">35/6 </w:t>
      </w:r>
      <w:r>
        <w:rPr>
          <w:color w:val="000000"/>
          <w:spacing w:val="0"/>
          <w:w w:val="100"/>
          <w:position w:val="0"/>
          <w:sz w:val="24"/>
          <w:szCs w:val="24"/>
          <w:shd w:val="clear" w:color="auto" w:fill="auto"/>
          <w:lang w:val="ru-RU" w:eastAsia="ru-RU" w:bidi="ru-RU"/>
        </w:rPr>
        <w:t>(за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 ремонт медицинской техники, -периодическое и текущее техническое обслуживание медицинской техники; ИЛИ Выписка из реестра лицензий или копия акта лицензирующего органа о принятом решении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б) техническое обслуживание групп медицинской техники класса 26 потенциального риска применения: хирургические инструменты, системы и сопутствующие медицинские изделия; ИЛИ Выписка из реестра лицензий или копия акта лицензирующего органа о принятом решении на осуществление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2. Техническое обслуживание групп медицинских изделий (кроме программного обеспечения, являющегося медицинским изделием) класса 26 потенциального риска применения: хирургические инструменты, системы и сопутствующие медицинские изделия. ИЛИ Выписка из реестра лицензий или копия акта лицензирующего органа о принятом решении на осуществление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 ремонт медицинской техники; - периодическое и текущее техническое обслуживание медицинской техники. Б) Выписка из реестра лицензий или копия акта лицензирующего органа о принятом решении на осуществление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по следующим видам работ: техническое обслуживание источников ионизирующего излучения (генерирующих) или техническое обслуживание аппаратов рентгеновских медицинских или техническое обслуживание медицинского рентгеновского оборудования или техническое обслуживание источников ионизирующего излучения для медицинских целей.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материалам дела в составе заявки Заявителя (№ 114042137) представлены следующие документы:</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выписка из реестра лицензий на осуществление деятельности по техническому обслуживанию медицинской техники в части: монтажа и наладки медицинской техники, контроля технического состояния медицинской техники, периодического и текущего технического обслуживания медицинской техники, ремонта медицинской техники, сформированная на интернет-портале Росздравнадзора;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копия лицензии на осуществление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по следующим видам работ: размещение, техническое обслуживание источников ионизирующего излучения для медицинских целей, в том числе радиационный контроль источников ионизирующего излучения, проектирование средств радиационной защиты источников ионизирующего излучения. Используемые радиационные источнии: аппараты рентгеновские медицинские.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в составе заявки Заявителя (№ 114042137) представлена только одна из требуемых Извещением выписок из реестра лицензий.</w:t>
      </w:r>
      <w:r>
        <w:br w:type="page"/>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Следовательно, заявка Заявителя не соответствует требованиям Извещения.</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Архангельского УФАС России отмечает, что доказательств объективной невозможности получения Заявителем требуемых Заказчиком документов в материалы дела не представлено.</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подпункту «а» пункта 1 части 5 статьи 49 ФЗ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ФЗ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ФЗ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пунктом 1 части 12 статьи 48 ФЗ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указанным Федеральным законом) в заявке на участие в закупке информации и документов, предусмотренных извещением об осуществлении закупки в соответствии с данным Федеральным законом (за исключением информации и документов, предусмотренных пунктами 2 и 3 части 6 статьи 43 указанного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shd w:val="clear" w:color="auto" w:fill="auto"/>
        <w:bidi w:val="0"/>
        <w:spacing w:before="0" w:after="0" w:line="240" w:lineRule="auto"/>
        <w:ind w:left="0" w:right="0" w:firstLine="760"/>
        <w:jc w:val="both"/>
      </w:pPr>
      <w:r>
        <w:rPr>
          <w:b/>
          <w:bCs/>
          <w:color w:val="000000"/>
          <w:spacing w:val="0"/>
          <w:w w:val="100"/>
          <w:position w:val="0"/>
          <w:sz w:val="24"/>
          <w:szCs w:val="24"/>
          <w:shd w:val="clear" w:color="auto" w:fill="auto"/>
          <w:lang w:val="ru-RU" w:eastAsia="ru-RU" w:bidi="ru-RU"/>
        </w:rPr>
        <w:t>Таким образом, аукционная комиссия, созданная Уполномоченным органом, правомерно отклонила заявку Заявителя.</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12"/>
        <w:keepNext w:val="0"/>
        <w:keepLines w:val="0"/>
        <w:widowControl w:val="0"/>
        <w:shd w:val="clear" w:color="auto" w:fill="auto"/>
        <w:bidi w:val="0"/>
        <w:spacing w:before="0" w:after="400" w:line="240" w:lineRule="auto"/>
        <w:ind w:left="0" w:right="0" w:firstLine="760"/>
        <w:jc w:val="both"/>
      </w:pPr>
      <w:r>
        <w:rPr>
          <w:color w:val="000000"/>
          <w:spacing w:val="0"/>
          <w:w w:val="100"/>
          <w:position w:val="0"/>
          <w:sz w:val="24"/>
          <w:szCs w:val="24"/>
          <w:shd w:val="clear" w:color="auto" w:fill="auto"/>
          <w:lang w:val="ru-RU" w:eastAsia="ru-RU" w:bidi="ru-RU"/>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5"/>
        <w:keepNext/>
        <w:keepLines/>
        <w:widowControl w:val="0"/>
        <w:shd w:val="clear" w:color="auto" w:fill="auto"/>
        <w:bidi w:val="0"/>
        <w:spacing w:before="0" w:after="280" w:line="240" w:lineRule="auto"/>
        <w:ind w:left="0" w:right="0" w:firstLine="0"/>
        <w:jc w:val="center"/>
      </w:pPr>
      <w:bookmarkStart w:id="16" w:name="bookmark16"/>
      <w:r>
        <w:rPr>
          <w:color w:val="000000"/>
          <w:spacing w:val="0"/>
          <w:w w:val="100"/>
          <w:position w:val="0"/>
          <w:sz w:val="24"/>
          <w:szCs w:val="24"/>
          <w:u w:val="none"/>
          <w:shd w:val="clear" w:color="auto" w:fill="auto"/>
          <w:lang w:val="ru-RU" w:eastAsia="ru-RU" w:bidi="ru-RU"/>
        </w:rPr>
        <w:t>РЕШИЛА:</w:t>
      </w:r>
      <w:bookmarkEnd w:id="16"/>
    </w:p>
    <w:p>
      <w:pPr>
        <w:pStyle w:val="Style12"/>
        <w:keepNext w:val="0"/>
        <w:keepLines w:val="0"/>
        <w:widowControl w:val="0"/>
        <w:shd w:val="clear" w:color="auto" w:fill="auto"/>
        <w:bidi w:val="0"/>
        <w:spacing w:before="0" w:after="280" w:line="240" w:lineRule="auto"/>
        <w:ind w:left="0" w:right="0" w:firstLine="740"/>
        <w:jc w:val="both"/>
      </w:pPr>
      <w:r>
        <w:rPr>
          <w:color w:val="000000"/>
          <w:spacing w:val="0"/>
          <w:w w:val="100"/>
          <w:position w:val="0"/>
          <w:sz w:val="24"/>
          <w:szCs w:val="24"/>
          <w:shd w:val="clear" w:color="auto" w:fill="auto"/>
          <w:lang w:val="ru-RU" w:eastAsia="ru-RU" w:bidi="ru-RU"/>
        </w:rPr>
        <w:t>1. Признать жалобу ООО «Научно-технический центр «Орион» необоснованной.</w:t>
      </w:r>
    </w:p>
    <w:p>
      <w:pPr>
        <w:pStyle w:val="Style2"/>
        <w:keepNext w:val="0"/>
        <w:keepLines w:val="0"/>
        <w:widowControl w:val="0"/>
        <w:shd w:val="clear" w:color="auto" w:fill="auto"/>
        <w:bidi w:val="0"/>
        <w:spacing w:before="0" w:after="540" w:line="240" w:lineRule="auto"/>
        <w:ind w:left="0" w:right="0" w:firstLine="0"/>
        <w:jc w:val="both"/>
        <w:rPr>
          <w:sz w:val="19"/>
          <w:szCs w:val="19"/>
        </w:rPr>
      </w:pPr>
      <w:r>
        <w:rPr>
          <w:b/>
          <w:bCs/>
          <w:i/>
          <w:iCs/>
          <w:color w:val="000000"/>
          <w:spacing w:val="0"/>
          <w:w w:val="100"/>
          <w:position w:val="0"/>
          <w:sz w:val="19"/>
          <w:szCs w:val="19"/>
          <w:u w:val="single"/>
          <w:shd w:val="clear" w:color="auto" w:fill="auto"/>
          <w:lang w:val="ru-RU" w:eastAsia="ru-RU" w:bidi="ru-RU"/>
        </w:rPr>
        <w:t>Примечание.</w:t>
      </w:r>
      <w:r>
        <w:rPr>
          <w:b/>
          <w:bCs/>
          <w:i/>
          <w:iCs/>
          <w:color w:val="000000"/>
          <w:spacing w:val="0"/>
          <w:w w:val="100"/>
          <w:position w:val="0"/>
          <w:sz w:val="19"/>
          <w:szCs w:val="19"/>
          <w:shd w:val="clear" w:color="auto" w:fill="auto"/>
          <w:lang w:val="ru-RU" w:eastAsia="ru-RU" w:bidi="ru-RU"/>
        </w:rPr>
        <w:t xml:space="preserve"> </w:t>
      </w:r>
      <w:r>
        <w:rPr>
          <w:i/>
          <w:iCs/>
          <w:color w:val="000000"/>
          <w:spacing w:val="0"/>
          <w:w w:val="100"/>
          <w:position w:val="0"/>
          <w:sz w:val="19"/>
          <w:szCs w:val="19"/>
          <w:shd w:val="clear" w:color="auto" w:fill="auto"/>
          <w:lang w:val="ru-RU" w:eastAsia="ru-RU" w:bidi="ru-RU"/>
        </w:rPr>
        <w:t xml:space="preserve">Согласно части 9 статьи 106 ФЗ </w:t>
      </w:r>
      <w:r>
        <w:rPr>
          <w:b/>
          <w:bCs/>
          <w:i/>
          <w:iCs/>
          <w:color w:val="000000"/>
          <w:spacing w:val="0"/>
          <w:w w:val="100"/>
          <w:position w:val="0"/>
          <w:sz w:val="19"/>
          <w:szCs w:val="19"/>
          <w:shd w:val="clear" w:color="auto" w:fill="auto"/>
          <w:lang w:val="ru-RU" w:eastAsia="ru-RU" w:bidi="ru-RU"/>
        </w:rPr>
        <w:t xml:space="preserve">«О </w:t>
      </w:r>
      <w:r>
        <w:rPr>
          <w:i/>
          <w:iCs/>
          <w:color w:val="000000"/>
          <w:spacing w:val="0"/>
          <w:w w:val="100"/>
          <w:position w:val="0"/>
          <w:sz w:val="19"/>
          <w:szCs w:val="19"/>
          <w:shd w:val="clear" w:color="auto" w:fill="auto"/>
          <w:lang w:val="ru-RU" w:eastAsia="ru-RU" w:bidi="ru-RU"/>
        </w:rPr>
        <w:t>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12"/>
        <w:keepNext w:val="0"/>
        <w:keepLines w:val="0"/>
        <w:widowControl w:val="0"/>
        <w:shd w:val="clear" w:color="auto" w:fill="auto"/>
        <w:bidi w:val="0"/>
        <w:spacing w:before="0" w:after="280" w:line="240" w:lineRule="auto"/>
        <w:ind w:left="0" w:right="0" w:firstLine="0"/>
        <w:jc w:val="both"/>
      </w:pPr>
      <w:r>
        <w:rPr>
          <w:b/>
          <w:bCs/>
          <w:color w:val="000000"/>
          <w:spacing w:val="0"/>
          <w:w w:val="100"/>
          <w:position w:val="0"/>
          <w:sz w:val="24"/>
          <w:szCs w:val="24"/>
          <w:shd w:val="clear" w:color="auto" w:fill="auto"/>
          <w:lang w:val="ru-RU" w:eastAsia="ru-RU" w:bidi="ru-RU"/>
        </w:rPr>
        <w:t>Председатель Комиссии</w:t>
      </w:r>
    </w:p>
    <w:p>
      <w:pPr>
        <w:pStyle w:val="Style12"/>
        <w:keepNext w:val="0"/>
        <w:keepLines w:val="0"/>
        <w:widowControl w:val="0"/>
        <w:shd w:val="clear" w:color="auto" w:fill="auto"/>
        <w:bidi w:val="0"/>
        <w:spacing w:before="0" w:after="28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5746115</wp:posOffset>
                </wp:positionH>
                <wp:positionV relativeFrom="margin">
                  <wp:posOffset>7224395</wp:posOffset>
                </wp:positionV>
                <wp:extent cx="1158240" cy="189230"/>
                <wp:wrapSquare wrapText="left"/>
                <wp:docPr id="5" name="Shape 5"/>
                <a:graphic xmlns:a="http://schemas.openxmlformats.org/drawingml/2006/main">
                  <a:graphicData uri="http://schemas.microsoft.com/office/word/2010/wordprocessingShape">
                    <wps:wsp>
                      <wps:cNvSpPr txBox="1"/>
                      <wps:spPr>
                        <a:xfrm>
                          <a:ext cx="1158240" cy="1892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О.С. Малышева</w:t>
                            </w:r>
                          </w:p>
                        </w:txbxContent>
                      </wps:txbx>
                      <wps:bodyPr wrap="none" lIns="0" tIns="0" rIns="0" bIns="0">
                        <a:noAutoFit/>
                      </wps:bodyPr>
                    </wps:wsp>
                  </a:graphicData>
                </a:graphic>
              </wp:anchor>
            </w:drawing>
          </mc:Choice>
          <mc:Fallback>
            <w:pict>
              <v:shape id="_x0000_s1031" type="#_x0000_t202" style="position:absolute;margin-left:452.44999999999999pt;margin-top:568.85000000000002pt;width:91.200000000000003pt;height:14.9pt;z-index:-125829375;mso-wrap-distance-left:9.pt;mso-wrap-distance-right:9.pt;mso-position-horizontal-relative:page;mso-position-vertical-relative:margin"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О.С. Малышева</w:t>
                      </w:r>
                    </w:p>
                  </w:txbxContent>
                </v:textbox>
                <w10:wrap type="square" side="left" anchorx="page" anchory="margin"/>
              </v:shape>
            </w:pict>
          </mc:Fallback>
        </mc:AlternateContent>
      </w:r>
      <w:r>
        <mc:AlternateContent>
          <mc:Choice Requires="wps">
            <w:drawing>
              <wp:anchor distT="0" distB="0" distL="114300" distR="114300" simplePos="0" relativeHeight="125829380" behindDoc="0" locked="0" layoutInCell="1" allowOverlap="1">
                <wp:simplePos x="0" y="0"/>
                <wp:positionH relativeFrom="page">
                  <wp:posOffset>838835</wp:posOffset>
                </wp:positionH>
                <wp:positionV relativeFrom="margin">
                  <wp:posOffset>7553325</wp:posOffset>
                </wp:positionV>
                <wp:extent cx="1222375" cy="189230"/>
                <wp:wrapSquare wrapText="right"/>
                <wp:docPr id="7" name="Shape 7"/>
                <a:graphic xmlns:a="http://schemas.openxmlformats.org/drawingml/2006/main">
                  <a:graphicData uri="http://schemas.microsoft.com/office/word/2010/wordprocessingShape">
                    <wps:wsp>
                      <wps:cNvSpPr txBox="1"/>
                      <wps:spPr>
                        <a:xfrm>
                          <a:ext cx="1222375" cy="1892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3" type="#_x0000_t202" style="position:absolute;margin-left:66.049999999999997pt;margin-top:594.75pt;width:96.25pt;height:14.9pt;z-index:-125829373;mso-wrap-distance-left:9.pt;mso-wrap-distance-right:9.pt;mso-position-horizontal-relative:page;mso-position-vertical-relative:margin"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txbxContent>
                </v:textbox>
                <w10:wrap type="square" side="right" anchorx="page" anchory="margin"/>
              </v:shape>
            </w:pict>
          </mc:Fallback>
        </mc:AlternateContent>
      </w:r>
      <w:r>
        <w:rPr>
          <w:b/>
          <w:bCs/>
          <w:color w:val="000000"/>
          <w:spacing w:val="0"/>
          <w:w w:val="100"/>
          <w:position w:val="0"/>
          <w:sz w:val="24"/>
          <w:szCs w:val="24"/>
          <w:shd w:val="clear" w:color="auto" w:fill="auto"/>
          <w:lang w:val="ru-RU" w:eastAsia="ru-RU" w:bidi="ru-RU"/>
        </w:rPr>
        <w:t>Н.В. Вознесенская</w:t>
      </w:r>
    </w:p>
    <w:p>
      <w:pPr>
        <w:pStyle w:val="Style12"/>
        <w:keepNext w:val="0"/>
        <w:keepLines w:val="0"/>
        <w:widowControl w:val="0"/>
        <w:shd w:val="clear" w:color="auto" w:fill="auto"/>
        <w:bidi w:val="0"/>
        <w:spacing w:before="0" w:after="280" w:line="240" w:lineRule="auto"/>
        <w:ind w:left="8200" w:right="0" w:firstLine="0"/>
        <w:jc w:val="both"/>
      </w:pPr>
      <w:r>
        <w:drawing>
          <wp:anchor distT="0" distB="0" distL="0" distR="0" simplePos="0" relativeHeight="62914692" behindDoc="1" locked="0" layoutInCell="1" allowOverlap="1">
            <wp:simplePos x="0" y="0"/>
            <wp:positionH relativeFrom="margin">
              <wp:posOffset>2790190</wp:posOffset>
            </wp:positionH>
            <wp:positionV relativeFrom="margin">
              <wp:posOffset>6638925</wp:posOffset>
            </wp:positionV>
            <wp:extent cx="2919730" cy="1749425"/>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919730" cy="1749425"/>
                    </a:xfrm>
                    <a:prstGeom prst="rect"/>
                  </pic:spPr>
                </pic:pic>
              </a:graphicData>
            </a:graphic>
          </wp:anchor>
        </w:drawing>
      </w:r>
      <w:r>
        <w:rPr>
          <w:b/>
          <w:bCs/>
          <w:color w:val="000000"/>
          <w:spacing w:val="0"/>
          <w:w w:val="100"/>
          <w:position w:val="0"/>
          <w:sz w:val="24"/>
          <w:szCs w:val="24"/>
          <w:shd w:val="clear" w:color="auto" w:fill="auto"/>
          <w:lang w:val="ru-RU" w:eastAsia="ru-RU" w:bidi="ru-RU"/>
        </w:rPr>
        <w:t>С. Романова</w:t>
      </w:r>
    </w:p>
    <w:sectPr>
      <w:headerReference w:type="default" r:id="rId11"/>
      <w:headerReference w:type="even" r:id="rId12"/>
      <w:headerReference w:type="first" r:id="rId13"/>
      <w:footnotePr>
        <w:pos w:val="pageBottom"/>
        <w:numFmt w:val="decimal"/>
        <w:numRestart w:val="continuous"/>
      </w:footnotePr>
      <w:pgSz w:w="11900" w:h="16840"/>
      <w:pgMar w:top="740" w:right="957" w:bottom="553" w:left="1276" w:header="0" w:footer="3" w:gutter="0"/>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5397500</wp:posOffset>
              </wp:positionH>
              <wp:positionV relativeFrom="page">
                <wp:posOffset>259715</wp:posOffset>
              </wp:positionV>
              <wp:extent cx="1493520" cy="146050"/>
              <wp:wrapNone/>
              <wp:docPr id="2" name="Shape 2"/>
              <a:graphic xmlns:a="http://schemas.openxmlformats.org/drawingml/2006/main">
                <a:graphicData uri="http://schemas.microsoft.com/office/word/2010/wordprocessingShape">
                  <wps:wsp>
                    <wps:cNvSpPr txBox="1"/>
                    <wps:spPr>
                      <a:xfrm>
                        <a:ext cx="1493520" cy="146050"/>
                      </a:xfrm>
                      <a:prstGeom prst="rect"/>
                      <a:noFill/>
                    </wps:spPr>
                    <wps:txbx>
                      <w:txbxContent>
                        <w:p>
                          <w:pPr>
                            <w:pStyle w:val="Style15"/>
                            <w:keepNext w:val="0"/>
                            <w:keepLines w:val="0"/>
                            <w:widowControl w:val="0"/>
                            <w:shd w:val="clear" w:color="auto" w:fill="auto"/>
                            <w:tabs>
                              <w:tab w:pos="2352" w:val="right"/>
                            </w:tabs>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ab/>
                          </w:r>
                          <w:r>
                            <w:rPr>
                              <w:color w:val="000000"/>
                              <w:spacing w:val="0"/>
                              <w:w w:val="100"/>
                              <w:position w:val="0"/>
                              <w:sz w:val="17"/>
                              <w:szCs w:val="17"/>
                              <w:u w:val="single"/>
                              <w:shd w:val="clear" w:color="auto" w:fill="auto"/>
                              <w:lang w:val="ru-RU" w:eastAsia="ru-RU" w:bidi="ru-RU"/>
                            </w:rPr>
                            <w:t>§2/6</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425.pt;margin-top:20.449999999999999pt;width:117.60000000000001pt;height:11.5pt;z-index:-188744063;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tabs>
                        <w:tab w:pos="2352" w:val="right"/>
                      </w:tabs>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ab/>
                    </w:r>
                    <w:r>
                      <w:rPr>
                        <w:color w:val="000000"/>
                        <w:spacing w:val="0"/>
                        <w:w w:val="100"/>
                        <w:position w:val="0"/>
                        <w:sz w:val="17"/>
                        <w:szCs w:val="17"/>
                        <w:u w:val="single"/>
                        <w:shd w:val="clear" w:color="auto" w:fill="auto"/>
                        <w:lang w:val="ru-RU" w:eastAsia="ru-RU" w:bidi="ru-RU"/>
                      </w:rPr>
                      <w:t>§2/6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837565</wp:posOffset>
              </wp:positionH>
              <wp:positionV relativeFrom="page">
                <wp:posOffset>418465</wp:posOffset>
              </wp:positionV>
              <wp:extent cx="6077585" cy="0"/>
              <wp:wrapNone/>
              <wp:docPr id="4" name="Shape 4"/>
              <a:graphic xmlns:a="http://schemas.openxmlformats.org/drawingml/2006/main">
                <a:graphicData uri="http://schemas.microsoft.com/office/word/2010/wordprocessingShape">
                  <wps:wsp>
                    <wps:cNvCnPr/>
                    <wps:spPr>
                      <a:xfrm>
                        <a:ext cx="6077585" cy="0"/>
                      </a:xfrm>
                      <a:prstGeom prst="straightConnector1"/>
                      <a:ln w="12700">
                        <a:solidFill/>
                      </a:ln>
                    </wps:spPr>
                    <wps:bodyPr/>
                  </wps:wsp>
                </a:graphicData>
              </a:graphic>
            </wp:anchor>
          </w:drawing>
        </mc:Choice>
        <mc:Fallback>
          <w:pict>
            <v:shape o:spt="32" o:oned="true" path="m,l21600,21600e" style="position:absolute;margin-left:65.950000000000003pt;margin-top:32.950000000000003pt;width:478.55000000000001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6675755</wp:posOffset>
              </wp:positionH>
              <wp:positionV relativeFrom="page">
                <wp:posOffset>296545</wp:posOffset>
              </wp:positionV>
              <wp:extent cx="225425" cy="109855"/>
              <wp:wrapNone/>
              <wp:docPr id="11" name="Shape 11"/>
              <a:graphic xmlns:a="http://schemas.openxmlformats.org/drawingml/2006/main">
                <a:graphicData uri="http://schemas.microsoft.com/office/word/2010/wordprocessingShape">
                  <wps:wsp>
                    <wps:cNvSpPr txBox="1"/>
                    <wps:spPr>
                      <a:xfrm>
                        <a:ext cx="225425" cy="10985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®6/6</w:t>
                          </w:r>
                        </w:p>
                      </w:txbxContent>
                    </wps:txbx>
                    <wps:bodyPr wrap="none" lIns="0" tIns="0" rIns="0" bIns="0">
                      <a:spAutoFit/>
                    </wps:bodyPr>
                  </wps:wsp>
                </a:graphicData>
              </a:graphic>
            </wp:anchor>
          </w:drawing>
        </mc:Choice>
        <mc:Fallback>
          <w:pict>
            <v:shape id="_x0000_s1037" type="#_x0000_t202" style="position:absolute;margin-left:525.64999999999998pt;margin-top:23.350000000000001pt;width:17.75pt;height:8.6500000000000004pt;z-index:-188744060;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®6/6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848360</wp:posOffset>
              </wp:positionH>
              <wp:positionV relativeFrom="page">
                <wp:posOffset>445770</wp:posOffset>
              </wp:positionV>
              <wp:extent cx="6074410" cy="0"/>
              <wp:wrapNone/>
              <wp:docPr id="13" name="Shape 13"/>
              <a:graphic xmlns:a="http://schemas.openxmlformats.org/drawingml/2006/main">
                <a:graphicData uri="http://schemas.microsoft.com/office/word/2010/wordprocessingShape">
                  <wps:wsp>
                    <wps:cNvCnPr/>
                    <wps:spPr>
                      <a:xfrm>
                        <a:ext cx="6074410" cy="0"/>
                      </a:xfrm>
                      <a:prstGeom prst="straightConnector1"/>
                      <a:ln w="12700">
                        <a:solidFill/>
                      </a:ln>
                    </wps:spPr>
                    <wps:bodyPr/>
                  </wps:wsp>
                </a:graphicData>
              </a:graphic>
            </wp:anchor>
          </w:drawing>
        </mc:Choice>
        <mc:Fallback>
          <w:pict>
            <v:shape o:spt="32" o:oned="true" path="m,l21600,21600e" style="position:absolute;margin-left:66.799999999999997pt;margin-top:35.100000000000001pt;width:478.30000000000001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3549015</wp:posOffset>
              </wp:positionH>
              <wp:positionV relativeFrom="page">
                <wp:posOffset>257175</wp:posOffset>
              </wp:positionV>
              <wp:extent cx="3343910" cy="149225"/>
              <wp:wrapNone/>
              <wp:docPr id="14" name="Shape 14"/>
              <a:graphic xmlns:a="http://schemas.openxmlformats.org/drawingml/2006/main">
                <a:graphicData uri="http://schemas.microsoft.com/office/word/2010/wordprocessingShape">
                  <wps:wsp>
                    <wps:cNvSpPr txBox="1"/>
                    <wps:spPr>
                      <a:xfrm>
                        <a:ext cx="3343910" cy="149225"/>
                      </a:xfrm>
                      <a:prstGeom prst="rect"/>
                      <a:noFill/>
                    </wps:spPr>
                    <wps:txbx>
                      <w:txbxContent>
                        <w:p>
                          <w:pPr>
                            <w:pStyle w:val="Style15"/>
                            <w:keepNext w:val="0"/>
                            <w:keepLines w:val="0"/>
                            <w:widowControl w:val="0"/>
                            <w:shd w:val="clear" w:color="auto" w:fill="auto"/>
                            <w:tabs>
                              <w:tab w:pos="5266" w:val="right"/>
                            </w:tabs>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ab/>
                          </w:r>
                          <w:r>
                            <w:rPr>
                              <w:color w:val="000000"/>
                              <w:spacing w:val="0"/>
                              <w:w w:val="100"/>
                              <w:position w:val="0"/>
                              <w:sz w:val="17"/>
                              <w:szCs w:val="17"/>
                              <w:u w:val="single"/>
                              <w:shd w:val="clear" w:color="auto" w:fill="auto"/>
                              <w:lang w:val="ru-RU" w:eastAsia="ru-RU" w:bidi="ru-RU"/>
                            </w:rPr>
                            <w:t>Я4/6</w:t>
                          </w:r>
                        </w:p>
                      </w:txbxContent>
                    </wps:txbx>
                    <wps:bodyPr lIns="0" tIns="0" rIns="0" bIns="0">
                      <a:spAutoFit/>
                    </wps:bodyPr>
                  </wps:wsp>
                </a:graphicData>
              </a:graphic>
            </wp:anchor>
          </w:drawing>
        </mc:Choice>
        <mc:Fallback>
          <w:pict>
            <v:shape id="_x0000_s1040" type="#_x0000_t202" style="position:absolute;margin-left:279.44999999999999pt;margin-top:20.25pt;width:263.30000000000001pt;height:11.75pt;z-index:-188744058;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tabs>
                        <w:tab w:pos="5266" w:val="right"/>
                      </w:tabs>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ab/>
                    </w:r>
                    <w:r>
                      <w:rPr>
                        <w:color w:val="000000"/>
                        <w:spacing w:val="0"/>
                        <w:w w:val="100"/>
                        <w:position w:val="0"/>
                        <w:sz w:val="17"/>
                        <w:szCs w:val="17"/>
                        <w:u w:val="single"/>
                        <w:shd w:val="clear" w:color="auto" w:fill="auto"/>
                        <w:lang w:val="ru-RU" w:eastAsia="ru-RU" w:bidi="ru-RU"/>
                      </w:rPr>
                      <w:t>Я4/6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845185</wp:posOffset>
              </wp:positionH>
              <wp:positionV relativeFrom="page">
                <wp:posOffset>407670</wp:posOffset>
              </wp:positionV>
              <wp:extent cx="6071870" cy="0"/>
              <wp:wrapNone/>
              <wp:docPr id="16" name="Shape 16"/>
              <a:graphic xmlns:a="http://schemas.openxmlformats.org/drawingml/2006/main">
                <a:graphicData uri="http://schemas.microsoft.com/office/word/2010/wordprocessingShape">
                  <wps:wsp>
                    <wps:cNvCnPr/>
                    <wps:spPr>
                      <a:xfrm>
                        <a:ext cx="6071870" cy="0"/>
                      </a:xfrm>
                      <a:prstGeom prst="straightConnector1"/>
                      <a:ln w="12700">
                        <a:solidFill/>
                      </a:ln>
                    </wps:spPr>
                    <wps:bodyPr/>
                  </wps:wsp>
                </a:graphicData>
              </a:graphic>
            </wp:anchor>
          </w:drawing>
        </mc:Choice>
        <mc:Fallback>
          <w:pict>
            <v:shape o:spt="32" o:oned="true" path="m,l21600,21600e" style="position:absolute;margin-left:66.549999999999997pt;margin-top:32.100000000000001pt;width:478.10000000000002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Заголовок №1_"/>
    <w:basedOn w:val="DefaultParagraphFont"/>
    <w:link w:val="Style5"/>
    <w:rPr>
      <w:rFonts w:ascii="Times New Roman" w:eastAsia="Times New Roman" w:hAnsi="Times New Roman" w:cs="Times New Roman"/>
      <w:b/>
      <w:bCs/>
      <w:i w:val="0"/>
      <w:iCs w:val="0"/>
      <w:smallCaps w:val="0"/>
      <w:strike w:val="0"/>
      <w:u w:val="singl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sz w:val="17"/>
      <w:szCs w:val="17"/>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Заголовок №1"/>
    <w:basedOn w:val="Normal"/>
    <w:link w:val="CharStyle6"/>
    <w:pPr>
      <w:widowControl w:val="0"/>
      <w:shd w:val="clear" w:color="auto" w:fill="auto"/>
      <w:spacing w:after="50"/>
      <w:ind w:firstLine="290"/>
      <w:outlineLvl w:val="0"/>
    </w:pPr>
    <w:rPr>
      <w:rFonts w:ascii="Times New Roman" w:eastAsia="Times New Roman" w:hAnsi="Times New Roman" w:cs="Times New Roman"/>
      <w:b/>
      <w:bCs/>
      <w:i w:val="0"/>
      <w:iCs w:val="0"/>
      <w:smallCaps w:val="0"/>
      <w:strike w:val="0"/>
      <w:u w:val="single"/>
    </w:rPr>
  </w:style>
  <w:style w:type="paragraph" w:customStyle="1" w:styleId="Style8">
    <w:name w:val="Основной текст (3)"/>
    <w:basedOn w:val="Normal"/>
    <w:link w:val="CharStyle9"/>
    <w:pPr>
      <w:widowControl w:val="0"/>
      <w:shd w:val="clear" w:color="auto" w:fill="auto"/>
      <w:ind w:firstLine="220"/>
    </w:pPr>
    <w:rPr>
      <w:rFonts w:ascii="Times New Roman" w:eastAsia="Times New Roman" w:hAnsi="Times New Roman" w:cs="Times New Roman"/>
      <w:b w:val="0"/>
      <w:bCs w:val="0"/>
      <w:i w:val="0"/>
      <w:iCs w:val="0"/>
      <w:smallCaps w:val="0"/>
      <w:strike w:val="0"/>
      <w:sz w:val="17"/>
      <w:szCs w:val="17"/>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s>
</file>