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60705" cy="65214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60705" cy="652145"/>
                    </a:xfrm>
                    <a:prstGeom prst="rect"/>
                  </pic:spPr>
                </pic:pic>
              </a:graphicData>
            </a:graphic>
          </wp:inline>
        </w:drawing>
      </w:r>
    </w:p>
    <w:p>
      <w:pPr>
        <w:widowControl w:val="0"/>
        <w:spacing w:after="239" w:line="1" w:lineRule="exact"/>
      </w:pPr>
    </w:p>
    <w:p>
      <w:pPr>
        <w:pStyle w:val="Style2"/>
        <w:keepNext w:val="0"/>
        <w:keepLines w:val="0"/>
        <w:widowControl w:val="0"/>
        <w:shd w:val="clear" w:color="auto" w:fill="auto"/>
        <w:bidi w:val="0"/>
        <w:spacing w:before="0" w:after="120" w:line="259" w:lineRule="auto"/>
        <w:ind w:left="0" w:right="0" w:firstLine="0"/>
        <w:jc w:val="center"/>
      </w:pPr>
      <w:r>
        <w:rPr>
          <w:b/>
          <w:bCs/>
          <w:color w:val="000000"/>
          <w:spacing w:val="0"/>
          <w:w w:val="100"/>
          <w:position w:val="0"/>
          <w:shd w:val="clear" w:color="auto" w:fill="auto"/>
          <w:lang w:val="ru-RU" w:eastAsia="ru-RU" w:bidi="ru-RU"/>
        </w:rPr>
        <w:t>ФЕДЕРАЛЬНАЯ</w:t>
        <w:br/>
        <w:t>АНТИМОНОПОЛЬНАЯ СЛУЖБА</w:t>
      </w:r>
    </w:p>
    <w:p>
      <w:pPr>
        <w:pStyle w:val="Style5"/>
        <w:keepNext/>
        <w:keepLines/>
        <w:widowControl w:val="0"/>
        <w:shd w:val="clear" w:color="auto" w:fill="auto"/>
        <w:bidi w:val="0"/>
        <w:spacing w:before="0" w:after="280" w:line="295" w:lineRule="auto"/>
        <w:ind w:left="0" w:right="0" w:firstLine="0"/>
        <w:jc w:val="center"/>
      </w:pPr>
      <w:bookmarkStart w:id="0" w:name="bookmark0"/>
      <w:r>
        <w:rPr>
          <w:color w:val="000000"/>
          <w:spacing w:val="0"/>
          <w:w w:val="100"/>
          <w:position w:val="0"/>
          <w:shd w:val="clear" w:color="auto" w:fill="auto"/>
          <w:lang w:val="ru-RU" w:eastAsia="ru-RU" w:bidi="ru-RU"/>
        </w:rPr>
        <w:t>УПРАВЛЕНИЕ</w:t>
        <w:br/>
        <w:t>Федеральной антимонопольной службы</w:t>
        <w:br/>
        <w:t>по Архангельской области</w:t>
      </w:r>
      <w:bookmarkEnd w:id="0"/>
    </w:p>
    <w:p>
      <w:pPr>
        <w:pStyle w:val="Style7"/>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ул. К. Либкнехта, 2, г. Архангельск, 163000</w:t>
        <w:br/>
        <w:t>Тел.: (8182) 20-73-21, факс: (8182) 21-54-45</w:t>
        <w:br/>
        <w:t>е-таП: 1о29@Га8.§оу.ги</w:t>
      </w:r>
    </w:p>
    <w:p>
      <w:pPr>
        <w:widowControl w:val="0"/>
      </w:pPr>
    </w:p>
    <w:p>
      <w:pPr>
        <w:pStyle w:val="Style2"/>
        <w:keepNext w:val="0"/>
        <w:keepLines w:val="0"/>
        <w:widowControl w:val="0"/>
        <w:shd w:val="clear" w:color="auto" w:fill="auto"/>
        <w:tabs>
          <w:tab w:pos="2227" w:val="left"/>
        </w:tabs>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На №</w:t>
        <w:tab/>
        <w:t>от</w:t>
      </w:r>
    </w:p>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Дело № 130оз-23</w:t>
      </w:r>
    </w:p>
    <w:p>
      <w:pPr>
        <w:pStyle w:val="Style2"/>
        <w:keepNext w:val="0"/>
        <w:keepLines w:val="0"/>
        <w:widowControl w:val="0"/>
        <w:shd w:val="clear" w:color="auto" w:fill="auto"/>
        <w:bidi w:val="0"/>
        <w:spacing w:before="0" w:after="200" w:line="240" w:lineRule="auto"/>
        <w:ind w:left="0" w:right="0" w:firstLine="0"/>
        <w:jc w:val="left"/>
      </w:pPr>
      <w:r>
        <w:rPr>
          <w:b/>
          <w:bCs/>
          <w:color w:val="000000"/>
          <w:spacing w:val="0"/>
          <w:w w:val="100"/>
          <w:position w:val="0"/>
          <w:shd w:val="clear" w:color="auto" w:fill="auto"/>
          <w:lang w:val="ru-RU" w:eastAsia="ru-RU" w:bidi="ru-RU"/>
        </w:rPr>
        <w:t>029/06/49-350/2023</w:t>
      </w:r>
    </w:p>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u w:val="single"/>
          <w:shd w:val="clear" w:color="auto" w:fill="auto"/>
          <w:lang w:val="ru-RU" w:eastAsia="ru-RU" w:bidi="ru-RU"/>
        </w:rPr>
        <w:t>Заказчик :</w:t>
      </w:r>
    </w:p>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ГБУЗ Архангельской области «Северодвинская городская клиническая больница №2 скорой медицинской помощи»</w:t>
      </w:r>
    </w:p>
    <w:p>
      <w:pPr>
        <w:pStyle w:val="Style2"/>
        <w:keepNext w:val="0"/>
        <w:keepLines w:val="0"/>
        <w:widowControl w:val="0"/>
        <w:shd w:val="clear" w:color="auto" w:fill="auto"/>
        <w:bidi w:val="0"/>
        <w:spacing w:before="0" w:after="200"/>
        <w:ind w:left="0" w:right="0" w:firstLine="0"/>
        <w:jc w:val="left"/>
        <w:rPr>
          <w:sz w:val="20"/>
          <w:szCs w:val="20"/>
        </w:rPr>
      </w:pPr>
      <w:r>
        <w:rPr>
          <w:color w:val="000000"/>
          <w:spacing w:val="0"/>
          <w:w w:val="100"/>
          <w:position w:val="0"/>
          <w:sz w:val="20"/>
          <w:szCs w:val="20"/>
          <w:shd w:val="clear" w:color="auto" w:fill="auto"/>
          <w:lang w:val="ru-RU" w:eastAsia="ru-RU" w:bidi="ru-RU"/>
        </w:rPr>
        <w:t>164523, Архангельская область, г.Северодвинск, пр. Морской,49 Е-таП: §Ь2885@1пЬох.ги</w:t>
      </w:r>
    </w:p>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u w:val="single"/>
          <w:shd w:val="clear" w:color="auto" w:fill="auto"/>
          <w:lang w:val="ru-RU" w:eastAsia="ru-RU" w:bidi="ru-RU"/>
        </w:rPr>
        <w:t>Уполномоченный орган (аукционная комиссия):</w:t>
      </w:r>
    </w:p>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Контрактное агентство Архангельской области</w:t>
      </w:r>
    </w:p>
    <w:p>
      <w:pPr>
        <w:pStyle w:val="Style2"/>
        <w:keepNext w:val="0"/>
        <w:keepLines w:val="0"/>
        <w:widowControl w:val="0"/>
        <w:shd w:val="clear" w:color="auto" w:fill="auto"/>
        <w:bidi w:val="0"/>
        <w:spacing w:before="0" w:after="0" w:line="271" w:lineRule="auto"/>
        <w:ind w:left="0" w:right="0" w:firstLine="0"/>
        <w:jc w:val="left"/>
        <w:rPr>
          <w:sz w:val="20"/>
          <w:szCs w:val="20"/>
        </w:rPr>
      </w:pPr>
      <w:r>
        <w:rPr>
          <w:color w:val="000000"/>
          <w:spacing w:val="0"/>
          <w:w w:val="100"/>
          <w:position w:val="0"/>
          <w:sz w:val="20"/>
          <w:szCs w:val="20"/>
          <w:shd w:val="clear" w:color="auto" w:fill="auto"/>
          <w:lang w:val="ru-RU" w:eastAsia="ru-RU" w:bidi="ru-RU"/>
        </w:rPr>
        <w:t>163069, г. Архангельск, ул.Выучейского, Д.18</w:t>
      </w:r>
    </w:p>
    <w:p>
      <w:pPr>
        <w:pStyle w:val="Style2"/>
        <w:keepNext w:val="0"/>
        <w:keepLines w:val="0"/>
        <w:widowControl w:val="0"/>
        <w:shd w:val="clear" w:color="auto" w:fill="auto"/>
        <w:bidi w:val="0"/>
        <w:spacing w:before="0" w:after="200" w:line="271" w:lineRule="auto"/>
        <w:ind w:left="0" w:right="0" w:firstLine="0"/>
        <w:jc w:val="left"/>
        <w:rPr>
          <w:sz w:val="20"/>
          <w:szCs w:val="20"/>
        </w:rPr>
      </w:pPr>
      <w:r>
        <w:rPr>
          <w:color w:val="000000"/>
          <w:spacing w:val="0"/>
          <w:w w:val="100"/>
          <w:position w:val="0"/>
          <w:sz w:val="20"/>
          <w:szCs w:val="20"/>
          <w:shd w:val="clear" w:color="auto" w:fill="auto"/>
          <w:lang w:val="ru-RU" w:eastAsia="ru-RU" w:bidi="ru-RU"/>
        </w:rPr>
        <w:t>Е-таП: &lt;1кр@с1ута1апс1.ги</w:t>
      </w:r>
    </w:p>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u w:val="single"/>
          <w:shd w:val="clear" w:color="auto" w:fill="auto"/>
          <w:lang w:val="ru-RU" w:eastAsia="ru-RU" w:bidi="ru-RU"/>
        </w:rPr>
        <w:t>Оператор электронной площадки:</w:t>
      </w:r>
    </w:p>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ООО «РТС-тендер»</w:t>
      </w:r>
    </w:p>
    <w:p>
      <w:pPr>
        <w:pStyle w:val="Style2"/>
        <w:keepNext w:val="0"/>
        <w:keepLines w:val="0"/>
        <w:widowControl w:val="0"/>
        <w:shd w:val="clear" w:color="auto" w:fill="auto"/>
        <w:bidi w:val="0"/>
        <w:spacing w:before="0" w:after="0" w:line="271" w:lineRule="auto"/>
        <w:ind w:left="0" w:right="0" w:firstLine="0"/>
        <w:jc w:val="left"/>
        <w:rPr>
          <w:sz w:val="20"/>
          <w:szCs w:val="20"/>
        </w:rPr>
      </w:pPr>
      <w:r>
        <w:rPr>
          <w:color w:val="000000"/>
          <w:spacing w:val="0"/>
          <w:w w:val="100"/>
          <w:position w:val="0"/>
          <w:sz w:val="20"/>
          <w:szCs w:val="20"/>
          <w:shd w:val="clear" w:color="auto" w:fill="auto"/>
          <w:lang w:val="ru-RU" w:eastAsia="ru-RU" w:bidi="ru-RU"/>
        </w:rPr>
        <w:t>121151, г. Москва, набережная Тараса Шевченко, д. 23А</w:t>
      </w:r>
    </w:p>
    <w:p>
      <w:pPr>
        <w:pStyle w:val="Style2"/>
        <w:keepNext w:val="0"/>
        <w:keepLines w:val="0"/>
        <w:widowControl w:val="0"/>
        <w:shd w:val="clear" w:color="auto" w:fill="auto"/>
        <w:bidi w:val="0"/>
        <w:spacing w:before="0" w:after="0" w:line="271" w:lineRule="auto"/>
        <w:ind w:left="0" w:right="0" w:firstLine="0"/>
        <w:jc w:val="left"/>
        <w:rPr>
          <w:sz w:val="20"/>
          <w:szCs w:val="20"/>
        </w:rPr>
        <w:sectPr>
          <w:footnotePr>
            <w:pos w:val="pageBottom"/>
            <w:numFmt w:val="decimal"/>
            <w:numRestart w:val="continuous"/>
          </w:footnotePr>
          <w:pgSz w:w="11900" w:h="16840"/>
          <w:pgMar w:top="759" w:right="808" w:bottom="497" w:left="1257" w:header="331" w:footer="69" w:gutter="0"/>
          <w:pgNumType w:start="1"/>
          <w:cols w:num="2" w:space="720" w:equalWidth="0">
            <w:col w:w="4766" w:space="792"/>
            <w:col w:w="4277"/>
          </w:cols>
          <w:noEndnote/>
          <w:rtlGutter w:val="0"/>
          <w:docGrid w:linePitch="360"/>
        </w:sectPr>
      </w:pPr>
      <w:r>
        <w:rPr>
          <w:color w:val="000000"/>
          <w:spacing w:val="0"/>
          <w:w w:val="100"/>
          <w:position w:val="0"/>
          <w:sz w:val="20"/>
          <w:szCs w:val="20"/>
          <w:shd w:val="clear" w:color="auto" w:fill="auto"/>
          <w:lang w:val="ru-RU" w:eastAsia="ru-RU" w:bidi="ru-RU"/>
        </w:rPr>
        <w:t>Е-шаП: ко@г18-1епбег.ги</w:t>
      </w:r>
    </w:p>
    <w:p>
      <w:pPr>
        <w:widowControl w:val="0"/>
        <w:spacing w:line="106" w:lineRule="exact"/>
        <w:rPr>
          <w:sz w:val="9"/>
          <w:szCs w:val="9"/>
        </w:rPr>
      </w:pPr>
    </w:p>
    <w:p>
      <w:pPr>
        <w:widowControl w:val="0"/>
        <w:spacing w:line="1" w:lineRule="exact"/>
        <w:sectPr>
          <w:footnotePr>
            <w:pos w:val="pageBottom"/>
            <w:numFmt w:val="decimal"/>
            <w:numRestart w:val="continuous"/>
          </w:footnotePr>
          <w:type w:val="continuous"/>
          <w:pgSz w:w="11900" w:h="16840"/>
          <w:pgMar w:top="840" w:right="0" w:bottom="617" w:left="0" w:header="0" w:footer="3" w:gutter="0"/>
          <w:cols w:space="720"/>
          <w:noEndnote/>
          <w:rtlGutter w:val="0"/>
          <w:docGrid w:linePitch="360"/>
        </w:sectPr>
      </w:pPr>
    </w:p>
    <w:p>
      <w:pPr>
        <w:pStyle w:val="Style2"/>
        <w:keepNext w:val="0"/>
        <w:keepLines w:val="0"/>
        <w:widowControl w:val="0"/>
        <w:shd w:val="clear" w:color="auto" w:fill="auto"/>
        <w:bidi w:val="0"/>
        <w:spacing w:before="0" w:after="0" w:line="240" w:lineRule="auto"/>
        <w:ind w:left="5740" w:right="0" w:firstLine="0"/>
        <w:jc w:val="left"/>
      </w:pPr>
      <w:r>
        <w:rPr>
          <w:b/>
          <w:bCs/>
          <w:color w:val="000000"/>
          <w:spacing w:val="0"/>
          <w:w w:val="100"/>
          <w:position w:val="0"/>
          <w:u w:val="single"/>
          <w:shd w:val="clear" w:color="auto" w:fill="auto"/>
          <w:lang w:val="ru-RU" w:eastAsia="ru-RU" w:bidi="ru-RU"/>
        </w:rPr>
        <w:t>Заявитель:</w:t>
      </w:r>
    </w:p>
    <w:p>
      <w:pPr>
        <w:pStyle w:val="Style2"/>
        <w:keepNext w:val="0"/>
        <w:keepLines w:val="0"/>
        <w:widowControl w:val="0"/>
        <w:shd w:val="clear" w:color="auto" w:fill="auto"/>
        <w:bidi w:val="0"/>
        <w:spacing w:before="0" w:after="0" w:line="240" w:lineRule="auto"/>
        <w:ind w:left="5740" w:right="0" w:firstLine="0"/>
        <w:jc w:val="left"/>
      </w:pPr>
      <w:r>
        <w:rPr>
          <w:b/>
          <w:bCs/>
          <w:color w:val="000000"/>
          <w:spacing w:val="0"/>
          <w:w w:val="100"/>
          <w:position w:val="0"/>
          <w:shd w:val="clear" w:color="auto" w:fill="auto"/>
          <w:lang w:val="ru-RU" w:eastAsia="ru-RU" w:bidi="ru-RU"/>
        </w:rPr>
        <w:t>ООО «Научно-технический центр «Орион»</w:t>
      </w:r>
    </w:p>
    <w:p>
      <w:pPr>
        <w:pStyle w:val="Style2"/>
        <w:keepNext w:val="0"/>
        <w:keepLines w:val="0"/>
        <w:widowControl w:val="0"/>
        <w:shd w:val="clear" w:color="auto" w:fill="auto"/>
        <w:bidi w:val="0"/>
        <w:spacing w:before="0" w:after="0" w:line="266" w:lineRule="auto"/>
        <w:ind w:left="5740" w:right="0" w:firstLine="0"/>
        <w:jc w:val="left"/>
        <w:rPr>
          <w:sz w:val="20"/>
          <w:szCs w:val="20"/>
        </w:rPr>
      </w:pPr>
      <w:r>
        <w:rPr>
          <w:color w:val="000000"/>
          <w:spacing w:val="0"/>
          <w:w w:val="100"/>
          <w:position w:val="0"/>
          <w:sz w:val="20"/>
          <w:szCs w:val="20"/>
          <w:shd w:val="clear" w:color="auto" w:fill="auto"/>
          <w:lang w:val="ru-RU" w:eastAsia="ru-RU" w:bidi="ru-RU"/>
        </w:rPr>
        <w:t>164502, Архангельская обл.,</w:t>
      </w:r>
    </w:p>
    <w:p>
      <w:pPr>
        <w:pStyle w:val="Style2"/>
        <w:keepNext w:val="0"/>
        <w:keepLines w:val="0"/>
        <w:widowControl w:val="0"/>
        <w:shd w:val="clear" w:color="auto" w:fill="auto"/>
        <w:bidi w:val="0"/>
        <w:spacing w:before="0" w:after="0" w:line="266" w:lineRule="auto"/>
        <w:ind w:left="5740" w:right="0" w:firstLine="0"/>
        <w:jc w:val="left"/>
        <w:rPr>
          <w:sz w:val="20"/>
          <w:szCs w:val="20"/>
        </w:rPr>
      </w:pPr>
      <w:r>
        <w:rPr>
          <w:color w:val="000000"/>
          <w:spacing w:val="0"/>
          <w:w w:val="100"/>
          <w:position w:val="0"/>
          <w:sz w:val="20"/>
          <w:szCs w:val="20"/>
          <w:shd w:val="clear" w:color="auto" w:fill="auto"/>
          <w:lang w:val="ru-RU" w:eastAsia="ru-RU" w:bidi="ru-RU"/>
        </w:rPr>
        <w:t>г. Северодвинск, пр. Победы, д. 57а, пом. 1Н</w:t>
      </w:r>
    </w:p>
    <w:p>
      <w:pPr>
        <w:pStyle w:val="Style2"/>
        <w:keepNext w:val="0"/>
        <w:keepLines w:val="0"/>
        <w:widowControl w:val="0"/>
        <w:shd w:val="clear" w:color="auto" w:fill="auto"/>
        <w:bidi w:val="0"/>
        <w:spacing w:before="0" w:after="300" w:line="266" w:lineRule="auto"/>
        <w:ind w:left="5740" w:right="0" w:firstLine="0"/>
        <w:jc w:val="left"/>
        <w:rPr>
          <w:sz w:val="20"/>
          <w:szCs w:val="20"/>
        </w:rPr>
      </w:pPr>
      <w:r>
        <w:rPr>
          <w:color w:val="000000"/>
          <w:spacing w:val="0"/>
          <w:w w:val="100"/>
          <w:position w:val="0"/>
          <w:sz w:val="20"/>
          <w:szCs w:val="20"/>
          <w:shd w:val="clear" w:color="auto" w:fill="auto"/>
          <w:lang w:val="ru-RU" w:eastAsia="ru-RU" w:bidi="ru-RU"/>
        </w:rPr>
        <w:t>Е-шаИ: п1с-опоп@1пЬох.ги</w:t>
      </w:r>
    </w:p>
    <w:p>
      <w:pPr>
        <w:pStyle w:val="Style5"/>
        <w:keepNext/>
        <w:keepLines/>
        <w:widowControl w:val="0"/>
        <w:shd w:val="clear" w:color="auto" w:fill="auto"/>
        <w:bidi w:val="0"/>
        <w:spacing w:before="0" w:after="100"/>
        <w:ind w:left="0" w:right="0" w:firstLine="0"/>
        <w:jc w:val="center"/>
      </w:pPr>
      <w:bookmarkStart w:id="2" w:name="bookmark2"/>
      <w:r>
        <w:rPr>
          <w:color w:val="000000"/>
          <w:spacing w:val="0"/>
          <w:w w:val="100"/>
          <w:position w:val="0"/>
          <w:shd w:val="clear" w:color="auto" w:fill="auto"/>
          <w:lang w:val="ru-RU" w:eastAsia="ru-RU" w:bidi="ru-RU"/>
        </w:rPr>
        <w:t>РЕШЕНИЕ</w:t>
      </w:r>
      <w:bookmarkEnd w:id="2"/>
    </w:p>
    <w:p>
      <w:pPr>
        <w:pStyle w:val="Style5"/>
        <w:keepNext/>
        <w:keepLines/>
        <w:widowControl w:val="0"/>
        <w:shd w:val="clear" w:color="auto" w:fill="auto"/>
        <w:tabs>
          <w:tab w:pos="8150" w:val="left"/>
        </w:tabs>
        <w:bidi w:val="0"/>
        <w:spacing w:before="0" w:after="160"/>
        <w:ind w:left="0" w:right="0" w:firstLine="220"/>
        <w:jc w:val="both"/>
      </w:pPr>
      <w:bookmarkStart w:id="4" w:name="bookmark4"/>
      <w:r>
        <w:rPr>
          <w:color w:val="000000"/>
          <w:spacing w:val="0"/>
          <w:w w:val="100"/>
          <w:position w:val="0"/>
          <w:shd w:val="clear" w:color="auto" w:fill="auto"/>
          <w:lang w:val="ru-RU" w:eastAsia="ru-RU" w:bidi="ru-RU"/>
        </w:rPr>
        <w:t>02 мая 2023 года</w:t>
        <w:tab/>
        <w:t>г. Архангельск</w:t>
      </w:r>
      <w:bookmarkEnd w:id="4"/>
    </w:p>
    <w:p>
      <w:pPr>
        <w:pStyle w:val="Style2"/>
        <w:keepNext w:val="0"/>
        <w:keepLines w:val="0"/>
        <w:widowControl w:val="0"/>
        <w:shd w:val="clear" w:color="auto" w:fill="auto"/>
        <w:bidi w:val="0"/>
        <w:spacing w:before="0" w:after="0" w:line="259" w:lineRule="auto"/>
        <w:ind w:left="220" w:right="0" w:firstLine="580"/>
        <w:jc w:val="both"/>
      </w:pPr>
      <w:r>
        <w:rPr>
          <w:color w:val="000000"/>
          <w:spacing w:val="0"/>
          <w:w w:val="100"/>
          <w:position w:val="0"/>
          <w:shd w:val="clear" w:color="auto" w:fill="auto"/>
          <w:lang w:val="ru-RU" w:eastAsia="ru-RU" w:bidi="ru-RU"/>
        </w:rPr>
        <w:t>Руководствуясь Письмом ФАС России от 03.04.2020 № 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w:t>
      </w:r>
    </w:p>
    <w:p>
      <w:pPr>
        <w:pStyle w:val="Style5"/>
        <w:keepNext/>
        <w:keepLines/>
        <w:widowControl w:val="0"/>
        <w:shd w:val="clear" w:color="auto" w:fill="auto"/>
        <w:bidi w:val="0"/>
        <w:spacing w:before="0" w:after="100"/>
        <w:ind w:left="0" w:right="0" w:firstLine="780"/>
        <w:jc w:val="both"/>
      </w:pPr>
      <w:bookmarkStart w:id="6" w:name="bookmark6"/>
      <w:r>
        <w:rPr>
          <w:color w:val="000000"/>
          <w:spacing w:val="0"/>
          <w:w w:val="100"/>
          <w:position w:val="0"/>
          <w:u w:val="single"/>
          <w:shd w:val="clear" w:color="auto" w:fill="auto"/>
          <w:lang w:val="ru-RU" w:eastAsia="ru-RU" w:bidi="ru-RU"/>
        </w:rPr>
        <w:t>Председатель комиссии;</w:t>
      </w:r>
      <w:bookmarkEnd w:id="6"/>
    </w:p>
    <w:p>
      <w:pPr>
        <w:pStyle w:val="Style2"/>
        <w:keepNext w:val="0"/>
        <w:keepLines w:val="0"/>
        <w:widowControl w:val="0"/>
        <w:shd w:val="clear" w:color="auto" w:fill="auto"/>
        <w:bidi w:val="0"/>
        <w:spacing w:before="0" w:after="100" w:line="276" w:lineRule="auto"/>
        <w:ind w:left="2460" w:right="0" w:hanging="2220"/>
        <w:jc w:val="both"/>
      </w:pPr>
      <w:r>
        <w:rPr>
          <w:color w:val="000000"/>
          <w:spacing w:val="0"/>
          <w:w w:val="100"/>
          <w:position w:val="0"/>
          <w:shd w:val="clear" w:color="auto" w:fill="auto"/>
          <w:lang w:val="ru-RU" w:eastAsia="ru-RU" w:bidi="ru-RU"/>
        </w:rPr>
        <w:t>Малышева О.С. Заместитель руководителя Управления - начальник отдела контроля закупок;</w:t>
      </w:r>
    </w:p>
    <w:p>
      <w:pPr>
        <w:pStyle w:val="Style5"/>
        <w:keepNext/>
        <w:keepLines/>
        <w:widowControl w:val="0"/>
        <w:shd w:val="clear" w:color="auto" w:fill="auto"/>
        <w:bidi w:val="0"/>
        <w:spacing w:before="0" w:after="0"/>
        <w:ind w:left="0" w:right="0" w:firstLine="780"/>
        <w:jc w:val="both"/>
      </w:pPr>
      <w:bookmarkStart w:id="8" w:name="bookmark8"/>
      <w:r>
        <w:rPr>
          <w:color w:val="000000"/>
          <w:spacing w:val="0"/>
          <w:w w:val="100"/>
          <w:position w:val="0"/>
          <w:u w:val="single"/>
          <w:shd w:val="clear" w:color="auto" w:fill="auto"/>
          <w:lang w:val="ru-RU" w:eastAsia="ru-RU" w:bidi="ru-RU"/>
        </w:rPr>
        <w:t>Члены комиссии:</w:t>
      </w:r>
      <w:bookmarkEnd w:id="8"/>
    </w:p>
    <w:p>
      <w:pPr>
        <w:pStyle w:val="Style2"/>
        <w:keepNext w:val="0"/>
        <w:keepLines w:val="0"/>
        <w:widowControl w:val="0"/>
        <w:shd w:val="clear" w:color="auto" w:fill="auto"/>
        <w:tabs>
          <w:tab w:pos="2411" w:val="left"/>
        </w:tabs>
        <w:bidi w:val="0"/>
        <w:spacing w:before="0" w:after="0" w:line="254" w:lineRule="auto"/>
        <w:ind w:left="0" w:right="0" w:firstLine="220"/>
        <w:jc w:val="both"/>
      </w:pPr>
      <w:r>
        <w:rPr>
          <w:color w:val="000000"/>
          <w:spacing w:val="0"/>
          <w:w w:val="100"/>
          <w:position w:val="0"/>
          <w:shd w:val="clear" w:color="auto" w:fill="auto"/>
          <w:lang w:val="ru-RU" w:eastAsia="ru-RU" w:bidi="ru-RU"/>
        </w:rPr>
        <w:t>Титова О.Е.</w:t>
        <w:tab/>
        <w:t>Заместитель начальника отдела контроля закупок;</w:t>
      </w:r>
    </w:p>
    <w:p>
      <w:pPr>
        <w:pStyle w:val="Style2"/>
        <w:keepNext w:val="0"/>
        <w:keepLines w:val="0"/>
        <w:widowControl w:val="0"/>
        <w:shd w:val="clear" w:color="auto" w:fill="auto"/>
        <w:tabs>
          <w:tab w:pos="2411" w:val="left"/>
        </w:tabs>
        <w:bidi w:val="0"/>
        <w:spacing w:before="0" w:after="0" w:line="254" w:lineRule="auto"/>
        <w:ind w:left="0" w:right="0" w:firstLine="220"/>
        <w:jc w:val="left"/>
      </w:pPr>
      <w:r>
        <w:rPr>
          <w:color w:val="000000"/>
          <w:spacing w:val="0"/>
          <w:w w:val="100"/>
          <w:position w:val="0"/>
          <w:shd w:val="clear" w:color="auto" w:fill="auto"/>
          <w:lang w:val="ru-RU" w:eastAsia="ru-RU" w:bidi="ru-RU"/>
        </w:rPr>
        <w:t>Поддубная Ю.А.</w:t>
        <w:tab/>
        <w:t>Ведущий специалист-эксперт отдела контроля закупок;</w:t>
      </w:r>
    </w:p>
    <w:p>
      <w:pPr>
        <w:pStyle w:val="Style2"/>
        <w:keepNext w:val="0"/>
        <w:keepLines w:val="0"/>
        <w:widowControl w:val="0"/>
        <w:shd w:val="clear" w:color="auto" w:fill="auto"/>
        <w:bidi w:val="0"/>
        <w:spacing w:before="0" w:after="620" w:line="254" w:lineRule="auto"/>
        <w:ind w:left="220" w:right="0" w:firstLine="720"/>
        <w:jc w:val="both"/>
      </w:pPr>
      <w:r>
        <w:rPr>
          <w:color w:val="000000"/>
          <w:spacing w:val="0"/>
          <w:w w:val="100"/>
          <w:position w:val="0"/>
          <w:shd w:val="clear" w:color="auto" w:fill="auto"/>
          <w:lang w:val="ru-RU" w:eastAsia="ru-RU" w:bidi="ru-RU"/>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14"/>
        <w:keepNext w:val="0"/>
        <w:keepLines w:val="0"/>
        <w:widowControl w:val="0"/>
        <w:shd w:val="clear" w:color="auto" w:fill="auto"/>
        <w:bidi w:val="0"/>
        <w:spacing w:before="0" w:line="240" w:lineRule="auto"/>
        <w:ind w:left="0" w:right="0" w:firstLine="0"/>
        <w:jc w:val="left"/>
        <w:sectPr>
          <w:footnotePr>
            <w:pos w:val="pageBottom"/>
            <w:numFmt w:val="decimal"/>
            <w:numRestart w:val="continuous"/>
          </w:footnotePr>
          <w:type w:val="continuous"/>
          <w:pgSz w:w="11900" w:h="16840"/>
          <w:pgMar w:top="840" w:right="360" w:bottom="617" w:left="1056" w:header="0" w:footer="3" w:gutter="0"/>
          <w:cols w:space="720"/>
          <w:noEndnote/>
          <w:rtlGutter w:val="0"/>
          <w:docGrid w:linePitch="360"/>
        </w:sectPr>
      </w:pPr>
      <w:r>
        <w:rPr>
          <w:color w:val="000000"/>
          <w:spacing w:val="0"/>
          <w:w w:val="100"/>
          <w:position w:val="0"/>
          <w:shd w:val="clear" w:color="auto" w:fill="auto"/>
          <w:lang w:val="ru-RU" w:eastAsia="ru-RU" w:bidi="ru-RU"/>
        </w:rPr>
        <w:t>ООО «Центр документации»; 163000. г. Архангельск, пл. Ленина, д.4, оф.2; ИНН 2901204236; зак. 30. тир. 10000. 10.11.2022</w:t>
      </w:r>
    </w:p>
    <w:p>
      <w:pPr>
        <w:pStyle w:val="Style5"/>
        <w:keepNext/>
        <w:keepLines/>
        <w:widowControl w:val="0"/>
        <w:shd w:val="clear" w:color="auto" w:fill="auto"/>
        <w:bidi w:val="0"/>
        <w:spacing w:before="0" w:after="0"/>
        <w:ind w:left="1020" w:right="0" w:firstLine="0"/>
        <w:jc w:val="both"/>
      </w:pPr>
      <w:bookmarkStart w:id="10" w:name="bookmark10"/>
      <w:r>
        <w:rPr>
          <w:color w:val="000000"/>
          <w:spacing w:val="0"/>
          <w:w w:val="100"/>
          <w:position w:val="0"/>
          <w:u w:val="single"/>
          <w:shd w:val="clear" w:color="auto" w:fill="auto"/>
          <w:lang w:val="ru-RU" w:eastAsia="ru-RU" w:bidi="ru-RU"/>
        </w:rPr>
        <w:t>в присутствии представителей от:</w:t>
      </w:r>
      <w:bookmarkEnd w:id="10"/>
    </w:p>
    <w:p>
      <w:pPr>
        <w:pStyle w:val="Style2"/>
        <w:keepNext w:val="0"/>
        <w:keepLines w:val="0"/>
        <w:widowControl w:val="0"/>
        <w:shd w:val="clear" w:color="auto" w:fill="auto"/>
        <w:bidi w:val="0"/>
        <w:spacing w:before="0" w:after="0" w:line="276" w:lineRule="auto"/>
        <w:ind w:left="1020" w:right="0" w:firstLine="0"/>
        <w:jc w:val="both"/>
      </w:pPr>
      <w:r>
        <w:rPr>
          <w:b/>
          <w:bCs/>
          <w:color w:val="000000"/>
          <w:spacing w:val="0"/>
          <w:w w:val="100"/>
          <w:position w:val="0"/>
          <w:shd w:val="clear" w:color="auto" w:fill="auto"/>
          <w:lang w:val="ru-RU" w:eastAsia="ru-RU" w:bidi="ru-RU"/>
        </w:rPr>
        <w:t xml:space="preserve">Уполномоченного органа: </w:t>
      </w:r>
      <w:r>
        <w:rPr>
          <w:color w:val="000000"/>
          <w:spacing w:val="0"/>
          <w:w w:val="100"/>
          <w:position w:val="0"/>
          <w:shd w:val="clear" w:color="auto" w:fill="auto"/>
          <w:lang w:val="ru-RU" w:eastAsia="ru-RU" w:bidi="ru-RU"/>
        </w:rPr>
        <w:t>Пантелеевой О.С. (доверенность от 09.03.2022 № 74-Д);</w:t>
      </w:r>
    </w:p>
    <w:p>
      <w:pPr>
        <w:pStyle w:val="Style2"/>
        <w:keepNext w:val="0"/>
        <w:keepLines w:val="0"/>
        <w:widowControl w:val="0"/>
        <w:shd w:val="clear" w:color="auto" w:fill="auto"/>
        <w:bidi w:val="0"/>
        <w:spacing w:before="0" w:after="160" w:line="276" w:lineRule="auto"/>
        <w:ind w:left="300" w:right="0" w:firstLine="740"/>
        <w:jc w:val="both"/>
      </w:pPr>
      <w:r>
        <w:rPr>
          <w:b/>
          <w:bCs/>
          <w:color w:val="000000"/>
          <w:spacing w:val="0"/>
          <w:w w:val="100"/>
          <w:position w:val="0"/>
          <w:shd w:val="clear" w:color="auto" w:fill="auto"/>
          <w:lang w:val="ru-RU" w:eastAsia="ru-RU" w:bidi="ru-RU"/>
        </w:rPr>
        <w:t xml:space="preserve">Заказчик, Заявитель </w:t>
      </w:r>
      <w:r>
        <w:rPr>
          <w:color w:val="000000"/>
          <w:spacing w:val="0"/>
          <w:w w:val="100"/>
          <w:position w:val="0"/>
          <w:shd w:val="clear" w:color="auto" w:fill="auto"/>
          <w:lang w:val="ru-RU" w:eastAsia="ru-RU" w:bidi="ru-RU"/>
        </w:rPr>
        <w:t>уведомлены надлежащим образом о времени и месте рассмотрения настоящего дела, своих представителей не направили.</w:t>
      </w:r>
    </w:p>
    <w:p>
      <w:pPr>
        <w:pStyle w:val="Style5"/>
        <w:keepNext/>
        <w:keepLines/>
        <w:widowControl w:val="0"/>
        <w:shd w:val="clear" w:color="auto" w:fill="auto"/>
        <w:bidi w:val="0"/>
        <w:spacing w:before="0" w:after="0" w:line="262" w:lineRule="auto"/>
        <w:ind w:left="4540" w:right="0" w:firstLine="0"/>
        <w:jc w:val="left"/>
      </w:pPr>
      <w:bookmarkStart w:id="12" w:name="bookmark12"/>
      <w:r>
        <w:rPr>
          <w:color w:val="000000"/>
          <w:spacing w:val="0"/>
          <w:w w:val="100"/>
          <w:position w:val="0"/>
          <w:shd w:val="clear" w:color="auto" w:fill="auto"/>
          <w:lang w:val="ru-RU" w:eastAsia="ru-RU" w:bidi="ru-RU"/>
        </w:rPr>
        <w:t>УСТАНОВИЛА:</w:t>
      </w:r>
      <w:bookmarkEnd w:id="12"/>
    </w:p>
    <w:p>
      <w:pPr>
        <w:pStyle w:val="Style2"/>
        <w:keepNext w:val="0"/>
        <w:keepLines w:val="0"/>
        <w:widowControl w:val="0"/>
        <w:shd w:val="clear" w:color="auto" w:fill="auto"/>
        <w:bidi w:val="0"/>
        <w:spacing w:before="0" w:after="160"/>
        <w:ind w:left="300" w:right="0" w:firstLine="740"/>
        <w:jc w:val="both"/>
      </w:pPr>
      <w:r>
        <w:rPr>
          <w:color w:val="000000"/>
          <w:spacing w:val="0"/>
          <w:w w:val="100"/>
          <w:position w:val="0"/>
          <w:shd w:val="clear" w:color="auto" w:fill="auto"/>
          <w:lang w:val="ru-RU" w:eastAsia="ru-RU" w:bidi="ru-RU"/>
        </w:rPr>
        <w:t>24 апреля 2023 года в Архангельское УФАС России - уполномоченный федеральный орган исполнительной власти, осуществляющий контроль в сфере закупок, поступила жалоба ООО «Научно-технический центр «Орион» (далее - Заявитель) на действия аукционной комиссии, созданной уполномоченным органом - Контрактным агентством Архангельской области, при проведении электронного аукциона на право заключения контракта на оказание услуг по техническому обслуживанию и текущему ремонту томографов рентгеновских компьютерных (извещение № №0124200000623002261).</w:t>
      </w:r>
    </w:p>
    <w:p>
      <w:pPr>
        <w:pStyle w:val="Style5"/>
        <w:keepNext/>
        <w:keepLines/>
        <w:widowControl w:val="0"/>
        <w:shd w:val="clear" w:color="auto" w:fill="auto"/>
        <w:bidi w:val="0"/>
        <w:spacing w:before="0" w:after="0"/>
        <w:ind w:left="1020" w:right="0" w:firstLine="0"/>
        <w:jc w:val="both"/>
      </w:pPr>
      <w:bookmarkStart w:id="14" w:name="bookmark14"/>
      <w:r>
        <w:rPr>
          <w:color w:val="000000"/>
          <w:spacing w:val="0"/>
          <w:w w:val="100"/>
          <w:position w:val="0"/>
          <w:u w:val="single"/>
          <w:shd w:val="clear" w:color="auto" w:fill="auto"/>
          <w:lang w:val="ru-RU" w:eastAsia="ru-RU" w:bidi="ru-RU"/>
        </w:rPr>
        <w:t>Содержание жалобы:</w:t>
      </w:r>
      <w:bookmarkEnd w:id="14"/>
    </w:p>
    <w:p>
      <w:pPr>
        <w:pStyle w:val="Style2"/>
        <w:keepNext w:val="0"/>
        <w:keepLines w:val="0"/>
        <w:widowControl w:val="0"/>
        <w:shd w:val="clear" w:color="auto" w:fill="auto"/>
        <w:bidi w:val="0"/>
        <w:spacing w:before="0" w:after="0" w:line="254" w:lineRule="auto"/>
        <w:ind w:left="300" w:right="0" w:firstLine="740"/>
        <w:jc w:val="both"/>
      </w:pPr>
      <w:r>
        <w:rPr>
          <w:color w:val="000000"/>
          <w:spacing w:val="0"/>
          <w:w w:val="100"/>
          <w:position w:val="0"/>
          <w:shd w:val="clear" w:color="auto" w:fill="auto"/>
          <w:lang w:val="ru-RU" w:eastAsia="ru-RU" w:bidi="ru-RU"/>
        </w:rPr>
        <w:t>Обжалуются действия аукционной комиссии в связи с отклонением заявки ООО «Научно-технический центр «Орион» (далее - Общество) по результатам рассмотрения заявок на участие в электронном аукционе.</w:t>
      </w:r>
    </w:p>
    <w:p>
      <w:pPr>
        <w:pStyle w:val="Style2"/>
        <w:keepNext w:val="0"/>
        <w:keepLines w:val="0"/>
        <w:widowControl w:val="0"/>
        <w:shd w:val="clear" w:color="auto" w:fill="auto"/>
        <w:bidi w:val="0"/>
        <w:spacing w:before="0" w:after="0" w:line="254" w:lineRule="auto"/>
        <w:ind w:left="300" w:right="0" w:firstLine="740"/>
        <w:jc w:val="both"/>
      </w:pPr>
      <w:r>
        <w:rPr>
          <w:color w:val="000000"/>
          <w:spacing w:val="0"/>
          <w:w w:val="100"/>
          <w:position w:val="0"/>
          <w:shd w:val="clear" w:color="auto" w:fill="auto"/>
          <w:lang w:val="ru-RU" w:eastAsia="ru-RU" w:bidi="ru-RU"/>
        </w:rPr>
        <w:t>Уполномоченный орган не согласен с доводами Заявителя по основаниям, изложенным в объяснении по жалобе от 28.04.2023 №314-05-268.</w:t>
      </w:r>
    </w:p>
    <w:p>
      <w:pPr>
        <w:pStyle w:val="Style2"/>
        <w:keepNext w:val="0"/>
        <w:keepLines w:val="0"/>
        <w:widowControl w:val="0"/>
        <w:shd w:val="clear" w:color="auto" w:fill="auto"/>
        <w:bidi w:val="0"/>
        <w:spacing w:before="0" w:after="220" w:line="254" w:lineRule="auto"/>
        <w:ind w:left="300" w:right="0" w:firstLine="740"/>
        <w:jc w:val="both"/>
      </w:pPr>
      <w:r>
        <w:rPr>
          <w:color w:val="000000"/>
          <w:spacing w:val="0"/>
          <w:w w:val="100"/>
          <w:position w:val="0"/>
          <w:shd w:val="clear" w:color="auto" w:fill="auto"/>
          <w:lang w:val="ru-RU" w:eastAsia="ru-RU" w:bidi="ru-RU"/>
        </w:rPr>
        <w:t>Заказчик письменных объяснений по жалобе в адрес Архангельского УФАС России не представил.</w:t>
      </w:r>
    </w:p>
    <w:p>
      <w:pPr>
        <w:pStyle w:val="Style2"/>
        <w:keepNext w:val="0"/>
        <w:keepLines w:val="0"/>
        <w:widowControl w:val="0"/>
        <w:shd w:val="clear" w:color="auto" w:fill="auto"/>
        <w:bidi w:val="0"/>
        <w:spacing w:before="0" w:after="0" w:line="254" w:lineRule="auto"/>
        <w:ind w:left="300" w:right="0" w:firstLine="740"/>
        <w:jc w:val="both"/>
      </w:pPr>
      <w:r>
        <w:rPr>
          <w:b/>
          <w:bCs/>
          <w:color w:val="000000"/>
          <w:spacing w:val="0"/>
          <w:w w:val="100"/>
          <w:position w:val="0"/>
          <w:shd w:val="clear" w:color="auto" w:fill="auto"/>
          <w:lang w:val="ru-RU" w:eastAsia="ru-RU" w:bidi="ru-RU"/>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2"/>
        <w:keepNext w:val="0"/>
        <w:keepLines w:val="0"/>
        <w:widowControl w:val="0"/>
        <w:shd w:val="clear" w:color="auto" w:fill="auto"/>
        <w:bidi w:val="0"/>
        <w:spacing w:before="0" w:after="0" w:line="254" w:lineRule="auto"/>
        <w:ind w:left="300" w:right="0" w:firstLine="740"/>
        <w:jc w:val="both"/>
      </w:pPr>
      <w:r>
        <w:rPr>
          <w:color w:val="000000"/>
          <w:spacing w:val="0"/>
          <w:w w:val="100"/>
          <w:position w:val="0"/>
          <w:shd w:val="clear" w:color="auto" w:fill="auto"/>
          <w:lang w:val="ru-RU" w:eastAsia="ru-RU" w:bidi="ru-RU"/>
        </w:rPr>
        <w:t>В соответствии с Постановлением Правительства Архангельской области «Об утверждении Положения о контрактном агентстве Архангельской области» от 18.12.2009 № 215-пп контрактное агентство Архангельской области является уполномоченным исполнительным органом государственной власти Архангельской области, осуществляющим: регулирование контрактной системы в сфере закупок товаров, работ, услуг для обеспечения нужд Архангельской области; определение поставщиков (подрядчиков, исполнителей) для обеспечения нужд Архангельской области; организацию и проведение аукционов по продаже права на заключение договоров аренды отдельных лесных участков.</w:t>
      </w:r>
    </w:p>
    <w:p>
      <w:pPr>
        <w:pStyle w:val="Style2"/>
        <w:keepNext w:val="0"/>
        <w:keepLines w:val="0"/>
        <w:widowControl w:val="0"/>
        <w:shd w:val="clear" w:color="auto" w:fill="auto"/>
        <w:bidi w:val="0"/>
        <w:spacing w:before="0" w:after="0" w:line="254" w:lineRule="auto"/>
        <w:ind w:left="300" w:right="0" w:firstLine="740"/>
        <w:jc w:val="both"/>
      </w:pPr>
      <w:r>
        <w:rPr>
          <w:color w:val="000000"/>
          <w:spacing w:val="0"/>
          <w:w w:val="100"/>
          <w:position w:val="0"/>
          <w:shd w:val="clear" w:color="auto" w:fill="auto"/>
          <w:lang w:val="ru-RU" w:eastAsia="ru-RU" w:bidi="ru-RU"/>
        </w:rPr>
        <w:t>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 установленном Постановлением Правительства Архангельской области «Порядок взаимодействия контрактного агентства Архангельской области, государственных заказчиков Архангельской области, государственных бюджетных учреждений Архангельской области, муниципальных заказчиков Архангельской области, муниципальных бюджетных учреждений муниципальных образований Архангельской области и отдельных юридических лиц при определении поставщиков (подрядчиков, исполнителей) для обеспечения нужд Архангельской области» от 20 декабря 2013 года № 595-пп (далее - Постановление № 595- пп).</w:t>
      </w:r>
    </w:p>
    <w:p>
      <w:pPr>
        <w:pStyle w:val="Style2"/>
        <w:keepNext w:val="0"/>
        <w:keepLines w:val="0"/>
        <w:widowControl w:val="0"/>
        <w:shd w:val="clear" w:color="auto" w:fill="auto"/>
        <w:bidi w:val="0"/>
        <w:spacing w:before="0" w:after="220" w:line="264" w:lineRule="auto"/>
        <w:ind w:left="300" w:right="0" w:firstLine="740"/>
        <w:jc w:val="both"/>
      </w:pPr>
      <w:r>
        <w:rPr>
          <w:color w:val="000000"/>
          <w:spacing w:val="0"/>
          <w:w w:val="100"/>
          <w:position w:val="0"/>
          <w:shd w:val="clear" w:color="auto" w:fill="auto"/>
          <w:lang w:val="ru-RU" w:eastAsia="ru-RU" w:bidi="ru-RU"/>
        </w:rPr>
        <w:t>Согласно Постановлению № 595-пп Заказчик направляет в Уполномоченный орган заявку на осуществление закупки. Уполномоченный орган на основании представленной заявки Заказчика формирует извещение об осуществлении закупки и организует проведение закупки.</w:t>
      </w:r>
    </w:p>
    <w:p>
      <w:pPr>
        <w:pStyle w:val="Style2"/>
        <w:keepNext w:val="0"/>
        <w:keepLines w:val="0"/>
        <w:widowControl w:val="0"/>
        <w:shd w:val="clear" w:color="auto" w:fill="auto"/>
        <w:bidi w:val="0"/>
        <w:spacing w:before="0" w:after="0"/>
        <w:ind w:left="300" w:right="0" w:firstLine="740"/>
        <w:jc w:val="both"/>
      </w:pPr>
      <w:r>
        <w:rPr>
          <w:color w:val="000000"/>
          <w:spacing w:val="0"/>
          <w:w w:val="100"/>
          <w:position w:val="0"/>
          <w:shd w:val="clear" w:color="auto" w:fill="auto"/>
          <w:lang w:val="ru-RU" w:eastAsia="ru-RU" w:bidi="ru-RU"/>
        </w:rPr>
        <w:t>11.04.2023 Уполномоченным органом на официальном сайте единой информационной системы в сфере закупок в сети Интернет Ьйр://гакирк1.ёоу.ги размещено извещение №0124200000623002261 о проведении электронного аукциона на право заключения контракта на оказание услуг по техническому обслуживанию и текущему ремонту томографов рентгеновских компьютерных (далее - Извещение).</w:t>
      </w:r>
    </w:p>
    <w:p>
      <w:pPr>
        <w:pStyle w:val="Style2"/>
        <w:keepNext w:val="0"/>
        <w:keepLines w:val="0"/>
        <w:widowControl w:val="0"/>
        <w:shd w:val="clear" w:color="auto" w:fill="auto"/>
        <w:bidi w:val="0"/>
        <w:spacing w:before="0" w:after="160"/>
        <w:ind w:left="1020" w:right="0" w:firstLine="0"/>
        <w:jc w:val="both"/>
        <w:sectPr>
          <w:headerReference w:type="default" r:id="rId7"/>
          <w:footnotePr>
            <w:pos w:val="pageBottom"/>
            <w:numFmt w:val="decimal"/>
            <w:numRestart w:val="continuous"/>
          </w:footnotePr>
          <w:pgSz w:w="11900" w:h="16840"/>
          <w:pgMar w:top="840" w:right="360" w:bottom="617" w:left="1056" w:header="0" w:footer="189" w:gutter="0"/>
          <w:pgNumType w:start="12"/>
          <w:cols w:space="720"/>
          <w:noEndnote/>
          <w:rtlGutter w:val="0"/>
          <w:docGrid w:linePitch="360"/>
        </w:sectPr>
      </w:pPr>
      <w:r>
        <w:rPr>
          <w:color w:val="000000"/>
          <w:spacing w:val="0"/>
          <w:w w:val="100"/>
          <w:position w:val="0"/>
          <w:shd w:val="clear" w:color="auto" w:fill="auto"/>
          <w:lang w:val="ru-RU" w:eastAsia="ru-RU" w:bidi="ru-RU"/>
        </w:rPr>
        <w:t>Начальная (максимальная) цена контракта - 1 530 118,67 руб.</w:t>
      </w:r>
    </w:p>
    <w:p>
      <w:pPr>
        <w:pStyle w:val="Style2"/>
        <w:keepNext w:val="0"/>
        <w:keepLines w:val="0"/>
        <w:widowControl w:val="0"/>
        <w:shd w:val="clear" w:color="auto" w:fill="auto"/>
        <w:bidi w:val="0"/>
        <w:spacing w:before="0" w:after="0" w:line="266" w:lineRule="auto"/>
        <w:ind w:left="0" w:right="0" w:firstLine="880"/>
        <w:jc w:val="both"/>
      </w:pPr>
      <w:r>
        <w:rPr>
          <w:color w:val="000000"/>
          <w:spacing w:val="0"/>
          <w:w w:val="100"/>
          <w:position w:val="0"/>
          <w:shd w:val="clear" w:color="auto" w:fill="auto"/>
          <w:lang w:val="ru-RU" w:eastAsia="ru-RU" w:bidi="ru-RU"/>
        </w:rPr>
        <w:t>Оператор электронной площадки - ООО «РТС-тендер».</w:t>
      </w:r>
    </w:p>
    <w:p>
      <w:pPr>
        <w:pStyle w:val="Style2"/>
        <w:keepNext w:val="0"/>
        <w:keepLines w:val="0"/>
        <w:widowControl w:val="0"/>
        <w:shd w:val="clear" w:color="auto" w:fill="auto"/>
        <w:bidi w:val="0"/>
        <w:spacing w:before="0" w:after="0" w:line="266" w:lineRule="auto"/>
        <w:ind w:left="180" w:right="0" w:firstLine="720"/>
        <w:jc w:val="both"/>
      </w:pPr>
      <w:r>
        <w:rPr>
          <w:color w:val="000000"/>
          <w:spacing w:val="0"/>
          <w:w w:val="100"/>
          <w:position w:val="0"/>
          <w:shd w:val="clear" w:color="auto" w:fill="auto"/>
          <w:lang w:val="ru-RU" w:eastAsia="ru-RU" w:bidi="ru-RU"/>
        </w:rPr>
        <w:t>В соответствии с протоколом подведения итогов определения поставщика от 20.04.2023 на участие в электронном аукционе было подано 3 заявки, которым были присвоены идентификационные номера 114042102, 114047544, 114042128.</w:t>
      </w:r>
    </w:p>
    <w:p>
      <w:pPr>
        <w:pStyle w:val="Style2"/>
        <w:keepNext w:val="0"/>
        <w:keepLines w:val="0"/>
        <w:widowControl w:val="0"/>
        <w:shd w:val="clear" w:color="auto" w:fill="auto"/>
        <w:bidi w:val="0"/>
        <w:spacing w:before="0" w:after="0" w:line="266" w:lineRule="auto"/>
        <w:ind w:left="180" w:right="0" w:firstLine="720"/>
        <w:jc w:val="both"/>
      </w:pPr>
      <w:r>
        <w:rPr>
          <w:color w:val="000000"/>
          <w:spacing w:val="0"/>
          <w:w w:val="100"/>
          <w:position w:val="0"/>
          <w:shd w:val="clear" w:color="auto" w:fill="auto"/>
          <w:lang w:val="ru-RU" w:eastAsia="ru-RU" w:bidi="ru-RU"/>
        </w:rPr>
        <w:t xml:space="preserve">Согласно указанному протоколу заявка № 114042102 отклонена по следующему основанию: </w:t>
      </w:r>
      <w:r>
        <w:rPr>
          <w:i/>
          <w:iCs/>
          <w:color w:val="000000"/>
          <w:spacing w:val="0"/>
          <w:w w:val="100"/>
          <w:position w:val="0"/>
          <w:shd w:val="clear" w:color="auto" w:fill="auto"/>
          <w:lang w:val="ru-RU" w:eastAsia="ru-RU" w:bidi="ru-RU"/>
        </w:rPr>
        <w:t>«В соответствии с подпунктом а) пункта 1 части 5 статьи 49 Закона № 44- ФЗ заявка участника закупки отклонена по основаниям, предусмотренным пунктом 1 части 12 статьи 48 Закона 44-ФЗ, в связи с непредставлением участником закупки информации и документов, предусмотренных извещением об осуществлении закупки в соответствии с Законом № 44-ФЗ, а именно: участником закупки не представлены документы, подтверждающие соответствие участника закупки требованиям, установленным пунктом 1 части 1 статьи 31 Закона № 44-ФЗ:</w:t>
      </w:r>
    </w:p>
    <w:p>
      <w:pPr>
        <w:pStyle w:val="Style2"/>
        <w:keepNext w:val="0"/>
        <w:keepLines w:val="0"/>
        <w:widowControl w:val="0"/>
        <w:shd w:val="clear" w:color="auto" w:fill="auto"/>
        <w:bidi w:val="0"/>
        <w:spacing w:before="0" w:after="0" w:line="257" w:lineRule="auto"/>
        <w:ind w:left="180" w:right="0" w:firstLine="720"/>
        <w:jc w:val="both"/>
      </w:pPr>
      <w:r>
        <w:rPr>
          <w:i/>
          <w:iCs/>
          <w:color w:val="000000"/>
          <w:spacing w:val="0"/>
          <w:w w:val="100"/>
          <w:position w:val="0"/>
          <w:shd w:val="clear" w:color="auto" w:fill="auto"/>
          <w:lang w:val="ru-RU" w:eastAsia="ru-RU" w:bidi="ru-RU"/>
        </w:rPr>
        <w:t>Выписка из реестра лицензий или копия акта лицензирующего органа о принятом решении на осуществление деятельности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 по следующим видам работ: техническое обслуживание источников ионизирующего излучения (генерирующих) или техническое обслуживание аппаратов рентгеновских медицинских или техническое обслуживание медицинского рентгеновского оборудования или техническое обслуживание источников ионизирующего излучения для медицинских целей.</w:t>
      </w:r>
    </w:p>
    <w:p>
      <w:pPr>
        <w:pStyle w:val="Style2"/>
        <w:keepNext w:val="0"/>
        <w:keepLines w:val="0"/>
        <w:widowControl w:val="0"/>
        <w:shd w:val="clear" w:color="auto" w:fill="auto"/>
        <w:bidi w:val="0"/>
        <w:spacing w:before="0" w:after="0" w:line="257" w:lineRule="auto"/>
        <w:ind w:left="180" w:right="0" w:firstLine="720"/>
        <w:jc w:val="both"/>
      </w:pPr>
      <w:r>
        <w:rPr>
          <w:i/>
          <w:iCs/>
          <w:color w:val="000000"/>
          <w:spacing w:val="0"/>
          <w:w w:val="100"/>
          <w:position w:val="0"/>
          <w:shd w:val="clear" w:color="auto" w:fill="auto"/>
          <w:lang w:val="ru-RU" w:eastAsia="ru-RU" w:bidi="ru-RU"/>
        </w:rPr>
        <w:t>В заявке представлена скан-копия лицензии, требования к которой отсутствуют в извещении».</w:t>
      </w:r>
    </w:p>
    <w:p>
      <w:pPr>
        <w:pStyle w:val="Style2"/>
        <w:keepNext w:val="0"/>
        <w:keepLines w:val="0"/>
        <w:widowControl w:val="0"/>
        <w:shd w:val="clear" w:color="auto" w:fill="auto"/>
        <w:bidi w:val="0"/>
        <w:spacing w:before="0" w:after="0" w:line="257" w:lineRule="auto"/>
        <w:ind w:left="180" w:right="0" w:firstLine="720"/>
        <w:jc w:val="both"/>
      </w:pPr>
      <w:r>
        <w:rPr>
          <w:color w:val="000000"/>
          <w:spacing w:val="0"/>
          <w:w w:val="100"/>
          <w:position w:val="0"/>
          <w:shd w:val="clear" w:color="auto" w:fill="auto"/>
          <w:lang w:val="ru-RU" w:eastAsia="ru-RU" w:bidi="ru-RU"/>
        </w:rPr>
        <w:t>На основании подпункта "н" пункта 1 части 1 статьи 43 ФЗ «О контрактной системе» для участия в конкурентном способе заявка на участие в закупке, если иное не предусмотрено указанным Федеральным законом, должна содержать документы, подтверждающие соответствие участника закупки требованиям, установленным пунктом 1 части 1 статьи 31 названного Федерального закона,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указанного Федерального закона, если иное не предусмотрено данным Федеральным законом.</w:t>
      </w:r>
    </w:p>
    <w:p>
      <w:pPr>
        <w:pStyle w:val="Style2"/>
        <w:keepNext w:val="0"/>
        <w:keepLines w:val="0"/>
        <w:widowControl w:val="0"/>
        <w:shd w:val="clear" w:color="auto" w:fill="auto"/>
        <w:bidi w:val="0"/>
        <w:spacing w:before="0" w:after="0" w:line="257" w:lineRule="auto"/>
        <w:ind w:left="180" w:right="0" w:firstLine="720"/>
        <w:jc w:val="both"/>
      </w:pPr>
      <w:r>
        <w:rPr>
          <w:color w:val="000000"/>
          <w:spacing w:val="0"/>
          <w:w w:val="100"/>
          <w:position w:val="0"/>
          <w:shd w:val="clear" w:color="auto" w:fill="auto"/>
          <w:lang w:val="ru-RU" w:eastAsia="ru-RU" w:bidi="ru-RU"/>
        </w:rPr>
        <w:t>Пунктом 1 части 1 статьи 31 ФЗ «О контрактной системе» предусмотрено, что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указанного Федерального закона, заказчик устанавливает единые требования к участникам закупки, в частности,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2"/>
        <w:keepNext w:val="0"/>
        <w:keepLines w:val="0"/>
        <w:widowControl w:val="0"/>
        <w:shd w:val="clear" w:color="auto" w:fill="auto"/>
        <w:bidi w:val="0"/>
        <w:spacing w:before="0" w:after="0" w:line="257" w:lineRule="auto"/>
        <w:ind w:left="180" w:right="0" w:firstLine="720"/>
        <w:jc w:val="both"/>
      </w:pPr>
      <w:r>
        <w:rPr>
          <w:color w:val="000000"/>
          <w:spacing w:val="0"/>
          <w:w w:val="100"/>
          <w:position w:val="0"/>
          <w:shd w:val="clear" w:color="auto" w:fill="auto"/>
          <w:lang w:val="ru-RU" w:eastAsia="ru-RU" w:bidi="ru-RU"/>
        </w:rPr>
        <w:t>Частью 6 статьи 31 ФЗ «О контрактной системе» определено, что Заказчики не вправе устанавливать требования к участникам закупок в нарушение требований указанного Федерального закона.</w:t>
      </w:r>
    </w:p>
    <w:p>
      <w:pPr>
        <w:pStyle w:val="Style2"/>
        <w:keepNext w:val="0"/>
        <w:keepLines w:val="0"/>
        <w:widowControl w:val="0"/>
        <w:shd w:val="clear" w:color="auto" w:fill="auto"/>
        <w:bidi w:val="0"/>
        <w:spacing w:before="0" w:after="0" w:line="257" w:lineRule="auto"/>
        <w:ind w:left="180" w:right="0" w:firstLine="720"/>
        <w:jc w:val="both"/>
      </w:pPr>
      <w:r>
        <w:rPr>
          <w:color w:val="000000"/>
          <w:spacing w:val="0"/>
          <w:w w:val="100"/>
          <w:position w:val="0"/>
          <w:shd w:val="clear" w:color="auto" w:fill="auto"/>
          <w:lang w:val="ru-RU" w:eastAsia="ru-RU" w:bidi="ru-RU"/>
        </w:rPr>
        <w:t>Таким образом, в случае, если предметом закупки является поставка товара, выполнение работы или оказание услуги, для осуществления которых необходима соответствующая лицензия, свидетельство или иной документ в силу положений законодательства Российской Федерации, заказчик устанавливает требование к участникам закупки о наличии соответствующего документа.</w:t>
      </w:r>
    </w:p>
    <w:p>
      <w:pPr>
        <w:pStyle w:val="Style2"/>
        <w:keepNext w:val="0"/>
        <w:keepLines w:val="0"/>
        <w:widowControl w:val="0"/>
        <w:shd w:val="clear" w:color="auto" w:fill="auto"/>
        <w:bidi w:val="0"/>
        <w:spacing w:before="0" w:after="0" w:line="257" w:lineRule="auto"/>
        <w:ind w:left="180" w:right="0" w:firstLine="720"/>
        <w:jc w:val="both"/>
      </w:pPr>
      <w:r>
        <w:rPr>
          <w:color w:val="000000"/>
          <w:spacing w:val="0"/>
          <w:w w:val="100"/>
          <w:position w:val="0"/>
          <w:shd w:val="clear" w:color="auto" w:fill="auto"/>
          <w:lang w:val="ru-RU" w:eastAsia="ru-RU" w:bidi="ru-RU"/>
        </w:rPr>
        <w:t>Согласно пункту 2 статьи 3 Федерального закона от 04.05.2011 № 99-ФЗ "О лицензировании отдельных видов деятельности" (далее - Закон о лицензировании) лицензия - это специальное разрешение на право осуществления юридическим лицом или индивидуальным предпринимателем конкретного вида деятельности (выполнения работ, оказания услуг, составляющих лицензируемый вид деятельности), которое подтверждается записью в реестре лицензий.</w:t>
      </w:r>
    </w:p>
    <w:p>
      <w:pPr>
        <w:pStyle w:val="Style2"/>
        <w:keepNext w:val="0"/>
        <w:keepLines w:val="0"/>
        <w:widowControl w:val="0"/>
        <w:shd w:val="clear" w:color="auto" w:fill="auto"/>
        <w:bidi w:val="0"/>
        <w:spacing w:before="0" w:after="0" w:line="257" w:lineRule="auto"/>
        <w:ind w:left="180" w:right="0" w:firstLine="720"/>
        <w:jc w:val="both"/>
      </w:pPr>
      <w:r>
        <w:rPr>
          <w:color w:val="000000"/>
          <w:spacing w:val="0"/>
          <w:w w:val="100"/>
          <w:position w:val="0"/>
          <w:shd w:val="clear" w:color="auto" w:fill="auto"/>
          <w:lang w:val="ru-RU" w:eastAsia="ru-RU" w:bidi="ru-RU"/>
        </w:rPr>
        <w:t>Пунктом 17 части 1 статьи 12 Закона о лицензировании установлено, что лицензированию подлежит деятельность по техническому обслуживанию медицинских</w:t>
      </w:r>
    </w:p>
    <w:p>
      <w:pPr>
        <w:pStyle w:val="Style2"/>
        <w:keepNext w:val="0"/>
        <w:keepLines w:val="0"/>
        <w:widowControl w:val="0"/>
        <w:shd w:val="clear" w:color="auto" w:fill="auto"/>
        <w:tabs>
          <w:tab w:leader="underscore" w:pos="9192" w:val="left"/>
        </w:tabs>
        <w:bidi w:val="0"/>
        <w:spacing w:before="0" w:after="0"/>
        <w:ind w:left="0" w:right="0" w:firstLine="0"/>
        <w:jc w:val="both"/>
      </w:pPr>
      <w:r>
        <w:rPr>
          <w:color w:val="000000"/>
          <w:spacing w:val="0"/>
          <w:w w:val="100"/>
          <w:position w:val="0"/>
          <w:shd w:val="clear" w:color="auto" w:fill="auto"/>
          <w:lang w:val="ru-RU" w:eastAsia="ru-RU" w:bidi="ru-RU"/>
        </w:rPr>
        <w:tab/>
      </w:r>
      <w:r>
        <w:rPr>
          <w:color w:val="000000"/>
          <w:spacing w:val="0"/>
          <w:w w:val="100"/>
          <w:position w:val="0"/>
          <w:u w:val="single"/>
          <w:shd w:val="clear" w:color="auto" w:fill="auto"/>
          <w:lang w:val="ru-RU" w:eastAsia="ru-RU" w:bidi="ru-RU"/>
        </w:rPr>
        <w:t xml:space="preserve">Д4/6 </w:t>
      </w:r>
      <w:r>
        <w:rPr>
          <w:color w:val="000000"/>
          <w:spacing w:val="0"/>
          <w:w w:val="100"/>
          <w:position w:val="0"/>
          <w:shd w:val="clear" w:color="auto" w:fill="auto"/>
          <w:lang w:val="ru-RU" w:eastAsia="ru-RU" w:bidi="ru-RU"/>
        </w:rPr>
        <w:t>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Частью 8 статьи 21 Закона о лицензировании установлено, что сведения о конкретной лицензии по выбору заявителя предоставляются ему также в форме электронного документа, подписанного усиленной квалифицированной электронной подписью, в виде выписки из реестра лицензий, либо в виде копии акта лицензирующего органа о принятом решении, либо в виде справки об отсутствии запрашиваемых сведений, которая выдается в случае отсутствия в реестре лицензий сведений о лицензиях или при невозможности определения конкретного лицензиата. Указанные сведения предоставляются заявителю в срок, не превышающий трех рабочих дней с момента получения заявления о предоставлении таких сведений. Возможность подачи заявления о предоставлении сведений о конкретной У лицензии должна быть обеспечена заявителю посредством использования единого портала государственных и муниципальных услуг (за исключением случаев, если лицензирующим органом является федеральный орган исполнительной власти, уполномоченный в области противодействия техническим разведкам и технической защиты информации). Дополнительно возможность подачи заявления о предоставлении сведений о конкретной лицензии может быть обеспечена посредством использования региональных порталов государственных и муниципальных услуг и иных информационных систем.</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Пунктом 22 постановления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(далее - Постановление № 2343) установлено, что по заявлению заинтересованного лица сведения о конкретной лицензии предоставляются в порядке, предусмотренном в части 8 статьи 21 Закона о лицензировании, в форме выписки из реестра лицензий, либо копии акта лицензирующего органа о принятом решении, либо справки об отсутствии запрашиваемых сведений, которая выдается в случае отсутствия в реестре лицензий сведений о лицензиях или при невозможности определения конкретного лицензиата.</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письме Министерства экономического развития Российской Федерации от 23.04.2021 № Д24и-12191, в том числе указано:</w:t>
      </w:r>
    </w:p>
    <w:p>
      <w:pPr>
        <w:pStyle w:val="Style2"/>
        <w:keepNext w:val="0"/>
        <w:keepLines w:val="0"/>
        <w:widowControl w:val="0"/>
        <w:shd w:val="clear" w:color="auto" w:fill="auto"/>
        <w:bidi w:val="0"/>
        <w:spacing w:before="0" w:after="0" w:line="269" w:lineRule="auto"/>
        <w:ind w:left="0" w:right="0" w:firstLine="720"/>
        <w:jc w:val="both"/>
      </w:pPr>
      <w:r>
        <w:rPr>
          <w:color w:val="000000"/>
          <w:spacing w:val="0"/>
          <w:w w:val="100"/>
          <w:position w:val="0"/>
          <w:shd w:val="clear" w:color="auto" w:fill="auto"/>
          <w:lang w:val="ru-RU" w:eastAsia="ru-RU" w:bidi="ru-RU"/>
        </w:rPr>
        <w:t>"2. По вопросу указания бумажной лицензии в документации о закупке в качестве одного из документов, подтверждающих наличие лицензии, сообщаем.</w:t>
      </w:r>
    </w:p>
    <w:p>
      <w:pPr>
        <w:pStyle w:val="Style2"/>
        <w:keepNext w:val="0"/>
        <w:keepLines w:val="0"/>
        <w:widowControl w:val="0"/>
        <w:shd w:val="clear" w:color="auto" w:fill="auto"/>
        <w:bidi w:val="0"/>
        <w:spacing w:before="0" w:after="0" w:line="269" w:lineRule="auto"/>
        <w:ind w:left="0" w:right="0" w:firstLine="720"/>
        <w:jc w:val="both"/>
      </w:pPr>
      <w:r>
        <w:rPr>
          <w:color w:val="000000"/>
          <w:spacing w:val="0"/>
          <w:w w:val="100"/>
          <w:position w:val="0"/>
          <w:shd w:val="clear" w:color="auto" w:fill="auto"/>
          <w:lang w:val="ru-RU" w:eastAsia="ru-RU" w:bidi="ru-RU"/>
        </w:rPr>
        <w:t>С 1 января 2021 года бумажная лицензия не подтверждает наличие у лицензиата лицензии.</w:t>
      </w:r>
    </w:p>
    <w:p>
      <w:pPr>
        <w:pStyle w:val="Style2"/>
        <w:keepNext w:val="0"/>
        <w:keepLines w:val="0"/>
        <w:widowControl w:val="0"/>
        <w:shd w:val="clear" w:color="auto" w:fill="auto"/>
        <w:bidi w:val="0"/>
        <w:spacing w:before="0" w:after="0" w:line="276" w:lineRule="auto"/>
        <w:ind w:left="0" w:right="0" w:firstLine="720"/>
        <w:jc w:val="both"/>
      </w:pPr>
      <w:r>
        <w:rPr>
          <w:color w:val="000000"/>
          <w:spacing w:val="0"/>
          <w:w w:val="100"/>
          <w:position w:val="0"/>
          <w:shd w:val="clear" w:color="auto" w:fill="auto"/>
          <w:lang w:val="ru-RU" w:eastAsia="ru-RU" w:bidi="ru-RU"/>
        </w:rPr>
        <w:t>После 1 января 2021 года подтверждением наличия лицензий, является запись в реестре".</w:t>
      </w:r>
    </w:p>
    <w:p>
      <w:pPr>
        <w:pStyle w:val="Style2"/>
        <w:keepNext w:val="0"/>
        <w:keepLines w:val="0"/>
        <w:widowControl w:val="0"/>
        <w:shd w:val="clear" w:color="auto" w:fill="auto"/>
        <w:bidi w:val="0"/>
        <w:spacing w:before="0" w:after="0" w:line="276" w:lineRule="auto"/>
        <w:ind w:left="0" w:right="0" w:firstLine="720"/>
        <w:jc w:val="both"/>
      </w:pPr>
      <w:r>
        <w:rPr>
          <w:color w:val="000000"/>
          <w:spacing w:val="0"/>
          <w:w w:val="100"/>
          <w:position w:val="0"/>
          <w:shd w:val="clear" w:color="auto" w:fill="auto"/>
          <w:lang w:val="ru-RU" w:eastAsia="ru-RU" w:bidi="ru-RU"/>
        </w:rPr>
        <w:t>Таким образом, с 01 января 2021 года бумажная лицензия не подтверждает наличие у лицензиата лицензии.</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 основании изложенного формой подтверждения наличия специальной правоспособности участников закупки по предмету закупки является выписка из реестра лицензий либо копия акта лицензирующего органа о конкретной лицензии.</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пункте 2 части 1 документа «Требования к содержанию, составу заявки на участие в закупке и инструкция по ее заполнению» Извещения установлено, что Заявка на участие в закупке должна содержать следующие информацию и документы об участнике закупки: документы, подтверждающие соответствие участника закупки требованиям, установленным пунктом 1 части 1 статьи 31 ФЗ «О контрактной системе»: УСТАНОВЛЕНО В ИЗВЕЩЕНИИ.</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пункте «Требования к участникам» раздела «Преимущества и требования к участникам» Извещения определены требования к участникам закупок в соответствии с пунктом 1 части 1 статьи 31 ФЗ «О контрактной системе», а именно:</w:t>
      </w:r>
    </w:p>
    <w:p>
      <w:pPr>
        <w:pStyle w:val="Style2"/>
        <w:keepNext w:val="0"/>
        <w:keepLines w:val="0"/>
        <w:widowControl w:val="0"/>
        <w:shd w:val="clear" w:color="auto" w:fill="auto"/>
        <w:bidi w:val="0"/>
        <w:spacing w:before="0" w:after="0"/>
        <w:ind w:left="0" w:right="0" w:firstLine="720"/>
        <w:jc w:val="both"/>
        <w:sectPr>
          <w:headerReference w:type="default" r:id="rId8"/>
          <w:headerReference w:type="first" r:id="rId9"/>
          <w:footnotePr>
            <w:pos w:val="pageBottom"/>
            <w:numFmt w:val="decimal"/>
            <w:numRestart w:val="continuous"/>
          </w:footnotePr>
          <w:pgSz w:w="11900" w:h="16840"/>
          <w:pgMar w:top="840" w:right="360" w:bottom="617" w:left="1056" w:header="0" w:footer="3" w:gutter="0"/>
          <w:pgNumType w:start="3"/>
          <w:cols w:space="720"/>
          <w:noEndnote/>
          <w:titlePg/>
          <w:rtlGutter w:val="0"/>
          <w:docGrid w:linePitch="360"/>
        </w:sectPr>
      </w:pPr>
      <w:r>
        <w:rPr>
          <w:color w:val="000000"/>
          <w:spacing w:val="0"/>
          <w:w w:val="100"/>
          <w:position w:val="0"/>
          <w:shd w:val="clear" w:color="auto" w:fill="auto"/>
          <w:lang w:val="ru-RU" w:eastAsia="ru-RU" w:bidi="ru-RU"/>
        </w:rPr>
        <w:t>А) Выписка из реестра лицензий или копия акта лицензирующего органа о принятом решении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w:t>
      </w:r>
    </w:p>
    <w:p>
      <w:pPr>
        <w:pStyle w:val="Style2"/>
        <w:keepNext w:val="0"/>
        <w:keepLines w:val="0"/>
        <w:widowControl w:val="0"/>
        <w:shd w:val="clear" w:color="auto" w:fill="auto"/>
        <w:tabs>
          <w:tab w:leader="underscore" w:pos="811" w:val="left"/>
          <w:tab w:leader="underscore" w:pos="9216" w:val="left"/>
        </w:tabs>
        <w:bidi w:val="0"/>
        <w:spacing w:before="0" w:after="0" w:line="264" w:lineRule="auto"/>
        <w:ind w:left="0" w:right="0" w:firstLine="0"/>
        <w:jc w:val="both"/>
      </w:pPr>
      <w:r>
        <w:rPr>
          <w:b/>
          <w:bCs/>
          <w:color w:val="000000"/>
          <w:spacing w:val="0"/>
          <w:w w:val="100"/>
          <w:position w:val="0"/>
          <w:sz w:val="15"/>
          <w:szCs w:val="15"/>
          <w:shd w:val="clear" w:color="auto" w:fill="auto"/>
          <w:lang w:val="ru-RU" w:eastAsia="ru-RU" w:bidi="ru-RU"/>
        </w:rPr>
        <w:tab/>
        <w:tab/>
      </w:r>
      <w:r>
        <w:rPr>
          <w:b/>
          <w:bCs/>
          <w:color w:val="000000"/>
          <w:spacing w:val="0"/>
          <w:w w:val="100"/>
          <w:position w:val="0"/>
          <w:sz w:val="15"/>
          <w:szCs w:val="15"/>
          <w:u w:val="single"/>
          <w:shd w:val="clear" w:color="auto" w:fill="auto"/>
          <w:lang w:val="ru-RU" w:eastAsia="ru-RU" w:bidi="ru-RU"/>
        </w:rPr>
        <w:t xml:space="preserve">Д5/6 </w:t>
      </w:r>
      <w:r>
        <w:rPr>
          <w:color w:val="000000"/>
          <w:spacing w:val="0"/>
          <w:w w:val="100"/>
          <w:position w:val="0"/>
          <w:shd w:val="clear" w:color="auto" w:fill="auto"/>
          <w:lang w:val="ru-RU" w:eastAsia="ru-RU" w:bidi="ru-RU"/>
        </w:rPr>
        <w:t>техники в части технического обслуживания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периодическое и текущее техническое обслуживание медицинской техники; ремонт медицинской техники; или Выписка из реестра лицензий или копия акта лицензирующего органа о принятом решении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в части технического обслуживания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б) техническое обслуживание групп медицинской техники класса 26 потенциального риска применения: радиологические медицинские изделия (в части рентгеновского оборудования для компьютерной томографии и ангиографии); или Выписка из реестра лицензий или копия акта лицензирующего органа о принятом решении на осуществление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2. Техническое обслуживание групп медицинских изделий (кроме программного обеспечения, являющегося медицинским изделием) класса 26 потенциального риска применения: радиологические медицинские изделия (в части рентгеновского оборудования для компьютерной томографии и ангиографии); или выписка из реестра лицензий или копия акта лицензирующего органа о принятом решении на осуществление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периодическое и текущее техническое обслуживание медицинской техники; ремонт медицинской техники; Б) Выписка из реестра лицензий или копия акта лицензирующего органа о принятом решении на осуществление деятельности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 по следующим видам работ: техническое обслуживание источников ионизирующего излучения (генерирующих) или техническое обслуживание аппаратов рентгеновских медицинских или техническое обслуживание медицинского рентгеновского оборудования или техническое обслуживание источников ионизирующего излучения для медицинских целей.</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материалам дела в составе заявки Заявителя (№ 114042102) представлены следующие документы:</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выписка из реестра лицензий на осуществление деятельности по техническому обслуживанию медицинской техники в части: монтажа и наладки медицинской техники, контроля технического состояния медицинской техники, периодического и текущего технического обслуживания медицинской техники, ремонта медицинской техники, сформированная на интернет-портале Росздравнадзора;</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копия лицензии на осуществление деятельности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 по следующим видам работ: размещение, техническое обслуживание источников ионизирующего излучения для медицинских целей, в том числе радиационный контроль источников ионизирующего излучения, проектирование средств радиационной защиты источников ионизирующего излучения. Используемые радиационные источнии:аппараты рентгеновские медицинские.</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Таким образом, в составе заявки Заявителя (№ 114042102) представлена только одна из требуемых Извещением выписок из реестра лицензий.</w:t>
      </w:r>
    </w:p>
    <w:p>
      <w:pPr>
        <w:pStyle w:val="Style2"/>
        <w:keepNext w:val="0"/>
        <w:keepLines w:val="0"/>
        <w:widowControl w:val="0"/>
        <w:shd w:val="clear" w:color="auto" w:fill="auto"/>
        <w:bidi w:val="0"/>
        <w:spacing w:before="0" w:after="0"/>
        <w:ind w:left="0" w:right="0" w:firstLine="720"/>
        <w:jc w:val="both"/>
        <w:sectPr>
          <w:footnotePr>
            <w:pos w:val="pageBottom"/>
            <w:numFmt w:val="decimal"/>
            <w:numRestart w:val="continuous"/>
          </w:footnotePr>
          <w:pgSz w:w="11900" w:h="16840"/>
          <w:pgMar w:top="500" w:right="44" w:bottom="500" w:left="1372" w:header="0" w:footer="3" w:gutter="0"/>
          <w:cols w:space="720"/>
          <w:noEndnote/>
          <w:rtlGutter w:val="0"/>
          <w:docGrid w:linePitch="360"/>
        </w:sectPr>
      </w:pPr>
      <w:r>
        <w:rPr>
          <w:color w:val="000000"/>
          <w:spacing w:val="0"/>
          <w:w w:val="100"/>
          <w:position w:val="0"/>
          <w:shd w:val="clear" w:color="auto" w:fill="auto"/>
          <w:lang w:val="ru-RU" w:eastAsia="ru-RU" w:bidi="ru-RU"/>
        </w:rPr>
        <w:t>Следовательно, заявка Заявителя не соответствует требованиям Извещения.</w:t>
      </w:r>
    </w:p>
    <w:p>
      <w:pPr>
        <w:widowControl w:val="0"/>
        <w:spacing w:line="1" w:lineRule="exact"/>
      </w:pPr>
      <w:r>
        <mc:AlternateContent>
          <mc:Choice Requires="wps">
            <w:drawing>
              <wp:anchor distT="0" distB="347345" distL="114300" distR="117475" simplePos="0" relativeHeight="125829378" behindDoc="0" locked="0" layoutInCell="1" allowOverlap="1">
                <wp:simplePos x="0" y="0"/>
                <wp:positionH relativeFrom="page">
                  <wp:posOffset>5755005</wp:posOffset>
                </wp:positionH>
                <wp:positionV relativeFrom="paragraph">
                  <wp:posOffset>6705600</wp:posOffset>
                </wp:positionV>
                <wp:extent cx="1143000" cy="173990"/>
                <wp:wrapSquare wrapText="left"/>
                <wp:docPr id="8" name="Shape 8"/>
                <a:graphic xmlns:a="http://schemas.openxmlformats.org/drawingml/2006/main">
                  <a:graphicData uri="http://schemas.microsoft.com/office/word/2010/wordprocessingShape">
                    <wps:wsp>
                      <wps:cNvSpPr txBox="1"/>
                      <wps:spPr>
                        <a:xfrm>
                          <a:ext cx="1143000" cy="1739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О.С. Малышева</w:t>
                            </w:r>
                          </w:p>
                        </w:txbxContent>
                      </wps:txbx>
                      <wps:bodyPr wrap="none" lIns="0" tIns="0" rIns="0" bIns="0">
                        <a:noAutoFit/>
                      </wps:bodyPr>
                    </wps:wsp>
                  </a:graphicData>
                </a:graphic>
              </wp:anchor>
            </w:drawing>
          </mc:Choice>
          <mc:Fallback>
            <w:pict>
              <v:shape id="_x0000_s1034" type="#_x0000_t202" style="position:absolute;margin-left:453.15000000000003pt;margin-top:528.pt;width:90.pt;height:13.700000000000001pt;z-index:-125829375;mso-wrap-distance-left:9.pt;mso-wrap-distance-right:9.25pt;mso-wrap-distance-bottom:27.35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О.С. Малышева</w:t>
                      </w:r>
                    </w:p>
                  </w:txbxContent>
                </v:textbox>
                <w10:wrap type="square" side="left" anchorx="page"/>
              </v:shape>
            </w:pict>
          </mc:Fallback>
        </mc:AlternateContent>
      </w:r>
      <w:r>
        <mc:AlternateContent>
          <mc:Choice Requires="wps">
            <w:drawing>
              <wp:anchor distT="347345" distB="0" distL="412750" distR="114935" simplePos="0" relativeHeight="125829380" behindDoc="0" locked="0" layoutInCell="1" allowOverlap="1">
                <wp:simplePos x="0" y="0"/>
                <wp:positionH relativeFrom="page">
                  <wp:posOffset>6053455</wp:posOffset>
                </wp:positionH>
                <wp:positionV relativeFrom="paragraph">
                  <wp:posOffset>7052945</wp:posOffset>
                </wp:positionV>
                <wp:extent cx="847090" cy="173990"/>
                <wp:wrapSquare wrapText="left"/>
                <wp:docPr id="10" name="Shape 10"/>
                <a:graphic xmlns:a="http://schemas.openxmlformats.org/drawingml/2006/main">
                  <a:graphicData uri="http://schemas.microsoft.com/office/word/2010/wordprocessingShape">
                    <wps:wsp>
                      <wps:cNvSpPr txBox="1"/>
                      <wps:spPr>
                        <a:xfrm>
                          <a:ext cx="847090" cy="1739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О.Е. Титова</w:t>
                            </w:r>
                          </w:p>
                        </w:txbxContent>
                      </wps:txbx>
                      <wps:bodyPr wrap="none" lIns="0" tIns="0" rIns="0" bIns="0">
                        <a:noAutoFit/>
                      </wps:bodyPr>
                    </wps:wsp>
                  </a:graphicData>
                </a:graphic>
              </wp:anchor>
            </w:drawing>
          </mc:Choice>
          <mc:Fallback>
            <w:pict>
              <v:shape id="_x0000_s1036" type="#_x0000_t202" style="position:absolute;margin-left:476.65000000000003pt;margin-top:555.35000000000002pt;width:66.700000000000003pt;height:13.700000000000001pt;z-index:-125829373;mso-wrap-distance-left:32.5pt;mso-wrap-distance-top:27.350000000000001pt;mso-wrap-distance-right:9.0500000000000007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О.Е. Титова</w:t>
                      </w:r>
                    </w:p>
                  </w:txbxContent>
                </v:textbox>
                <w10:wrap type="square" side="left" anchorx="page"/>
              </v:shape>
            </w:pict>
          </mc:Fallback>
        </mc:AlternateContent>
      </w:r>
    </w:p>
    <w:p>
      <w:pPr>
        <w:pStyle w:val="Style2"/>
        <w:keepNext w:val="0"/>
        <w:keepLines w:val="0"/>
        <w:widowControl w:val="0"/>
        <w:shd w:val="clear" w:color="auto" w:fill="auto"/>
        <w:bidi w:val="0"/>
        <w:spacing w:before="0" w:after="0" w:line="259" w:lineRule="auto"/>
        <w:ind w:left="0" w:right="0" w:firstLine="740"/>
        <w:jc w:val="both"/>
      </w:pPr>
      <w:r>
        <w:drawing>
          <wp:anchor distT="0" distB="0" distL="0" distR="0" simplePos="0" relativeHeight="62914694" behindDoc="1" locked="0" layoutInCell="1" allowOverlap="1">
            <wp:simplePos x="0" y="0"/>
            <wp:positionH relativeFrom="margin">
              <wp:posOffset>3075305</wp:posOffset>
            </wp:positionH>
            <wp:positionV relativeFrom="margin">
              <wp:posOffset>6087110</wp:posOffset>
            </wp:positionV>
            <wp:extent cx="2633345" cy="1273810"/>
            <wp:wrapNone/>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0"/>
                    <a:stretch/>
                  </pic:blipFill>
                  <pic:spPr>
                    <a:xfrm>
                      <a:ext cx="2633345" cy="1273810"/>
                    </a:xfrm>
                    <a:prstGeom prst="rect"/>
                  </pic:spPr>
                </pic:pic>
              </a:graphicData>
            </a:graphic>
          </wp:anchor>
        </w:drawing>
      </w:r>
      <w:r>
        <w:rPr>
          <w:color w:val="000000"/>
          <w:spacing w:val="0"/>
          <w:w w:val="100"/>
          <w:position w:val="0"/>
          <w:shd w:val="clear" w:color="auto" w:fill="auto"/>
          <w:lang w:val="ru-RU" w:eastAsia="ru-RU" w:bidi="ru-RU"/>
        </w:rPr>
        <w:t>Комиссия Архангельского УФАС России отмечает, что доказательств объективной невозможности получения Заявителем требуемых Заказчиком документов Обществом в материалы дела не представлено.</w:t>
      </w:r>
    </w:p>
    <w:p>
      <w:pPr>
        <w:pStyle w:val="Style2"/>
        <w:keepNext w:val="0"/>
        <w:keepLines w:val="0"/>
        <w:widowControl w:val="0"/>
        <w:shd w:val="clear" w:color="auto" w:fill="auto"/>
        <w:bidi w:val="0"/>
        <w:spacing w:before="0" w:after="0" w:line="259" w:lineRule="auto"/>
        <w:ind w:left="0" w:right="0" w:firstLine="740"/>
        <w:jc w:val="both"/>
      </w:pPr>
      <w:r>
        <w:rPr>
          <w:color w:val="000000"/>
          <w:spacing w:val="0"/>
          <w:w w:val="100"/>
          <w:position w:val="0"/>
          <w:shd w:val="clear" w:color="auto" w:fill="auto"/>
          <w:lang w:val="ru-RU" w:eastAsia="ru-RU" w:bidi="ru-RU"/>
        </w:rPr>
        <w:t>Согласно подпункту «а» пункта 1 части 5 статьи 49 ФЗ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ФЗ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ФЗ «О контрактной системе».</w:t>
      </w:r>
    </w:p>
    <w:p>
      <w:pPr>
        <w:pStyle w:val="Style2"/>
        <w:keepNext w:val="0"/>
        <w:keepLines w:val="0"/>
        <w:widowControl w:val="0"/>
        <w:shd w:val="clear" w:color="auto" w:fill="auto"/>
        <w:bidi w:val="0"/>
        <w:spacing w:before="0" w:after="0" w:line="259" w:lineRule="auto"/>
        <w:ind w:left="0" w:right="0" w:firstLine="740"/>
        <w:jc w:val="both"/>
      </w:pPr>
      <w:r>
        <w:rPr>
          <w:color w:val="000000"/>
          <w:spacing w:val="0"/>
          <w:w w:val="100"/>
          <w:position w:val="0"/>
          <w:shd w:val="clear" w:color="auto" w:fill="auto"/>
          <w:lang w:val="ru-RU" w:eastAsia="ru-RU" w:bidi="ru-RU"/>
        </w:rPr>
        <w:t>В соответствии с пунктом 1 части 12 статьи 48 ФЗ «О контрактной системе» при рассмотрении вторых частей заявок на участие в закупке соответствующая заявка подлежит отклонению в случаях непредставления (за исключением случаев, предусмотренных указанным Федеральным законом) в заявке на участие в закупке информации и документов, предусмотренных извещением об осуществлении закупки в соответствии с данным Федеральным законом (за исключением информации и документов, предусмотренных пунктами 2 и 3 части 6 статьи 43 указанного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5"/>
        <w:keepNext/>
        <w:keepLines/>
        <w:widowControl w:val="0"/>
        <w:shd w:val="clear" w:color="auto" w:fill="auto"/>
        <w:bidi w:val="0"/>
        <w:spacing w:before="0" w:after="0" w:line="259" w:lineRule="auto"/>
        <w:ind w:left="0" w:right="0" w:firstLine="740"/>
        <w:jc w:val="both"/>
      </w:pPr>
      <w:bookmarkStart w:id="16" w:name="bookmark16"/>
      <w:r>
        <w:rPr>
          <w:color w:val="000000"/>
          <w:spacing w:val="0"/>
          <w:w w:val="100"/>
          <w:position w:val="0"/>
          <w:shd w:val="clear" w:color="auto" w:fill="auto"/>
          <w:lang w:val="ru-RU" w:eastAsia="ru-RU" w:bidi="ru-RU"/>
        </w:rPr>
        <w:t>Таким образом, аукционная комиссия, созданная Уполномоченным органом, правомерно отклонила заявку Заявителя.</w:t>
      </w:r>
      <w:bookmarkEnd w:id="16"/>
    </w:p>
    <w:p>
      <w:pPr>
        <w:pStyle w:val="Style2"/>
        <w:keepNext w:val="0"/>
        <w:keepLines w:val="0"/>
        <w:widowControl w:val="0"/>
        <w:shd w:val="clear" w:color="auto" w:fill="auto"/>
        <w:bidi w:val="0"/>
        <w:spacing w:before="0" w:after="0" w:line="259" w:lineRule="auto"/>
        <w:ind w:left="0" w:right="0" w:firstLine="740"/>
        <w:jc w:val="both"/>
      </w:pPr>
      <w:r>
        <w:rPr>
          <w:color w:val="000000"/>
          <w:spacing w:val="0"/>
          <w:w w:val="100"/>
          <w:position w:val="0"/>
          <w:shd w:val="clear" w:color="auto" w:fill="auto"/>
          <w:lang w:val="ru-RU" w:eastAsia="ru-RU" w:bidi="ru-RU"/>
        </w:rPr>
        <w:t>При проведении внеплановой проверки на основании пункта 1 части 15 статьи 99 ФЗ «О контрактной системе» данной закупки нарушений законодательства РФ о контрактной системе не выявлено.</w:t>
      </w:r>
    </w:p>
    <w:p>
      <w:pPr>
        <w:pStyle w:val="Style2"/>
        <w:keepNext w:val="0"/>
        <w:keepLines w:val="0"/>
        <w:widowControl w:val="0"/>
        <w:shd w:val="clear" w:color="auto" w:fill="auto"/>
        <w:bidi w:val="0"/>
        <w:spacing w:before="0" w:after="100" w:line="259" w:lineRule="auto"/>
        <w:ind w:left="0" w:right="0" w:firstLine="740"/>
        <w:jc w:val="both"/>
      </w:pPr>
      <w:r>
        <w:rPr>
          <w:color w:val="000000"/>
          <w:spacing w:val="0"/>
          <w:w w:val="100"/>
          <w:position w:val="0"/>
          <w:shd w:val="clear" w:color="auto" w:fill="auto"/>
          <w:lang w:val="ru-RU" w:eastAsia="ru-RU" w:bidi="ru-RU"/>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5"/>
        <w:keepNext/>
        <w:keepLines/>
        <w:widowControl w:val="0"/>
        <w:shd w:val="clear" w:color="auto" w:fill="auto"/>
        <w:bidi w:val="0"/>
        <w:spacing w:before="0" w:after="300" w:line="240" w:lineRule="auto"/>
        <w:ind w:left="0" w:right="0" w:firstLine="0"/>
        <w:jc w:val="center"/>
      </w:pPr>
      <w:bookmarkStart w:id="18" w:name="bookmark18"/>
      <w:r>
        <w:rPr>
          <w:color w:val="000000"/>
          <w:spacing w:val="0"/>
          <w:w w:val="100"/>
          <w:position w:val="0"/>
          <w:shd w:val="clear" w:color="auto" w:fill="auto"/>
          <w:lang w:val="ru-RU" w:eastAsia="ru-RU" w:bidi="ru-RU"/>
        </w:rPr>
        <w:t>РЕШИЛА:</w:t>
      </w:r>
      <w:bookmarkEnd w:id="18"/>
    </w:p>
    <w:p>
      <w:pPr>
        <w:pStyle w:val="Style2"/>
        <w:keepNext w:val="0"/>
        <w:keepLines w:val="0"/>
        <w:widowControl w:val="0"/>
        <w:shd w:val="clear" w:color="auto" w:fill="auto"/>
        <w:bidi w:val="0"/>
        <w:spacing w:before="0" w:after="260" w:line="240" w:lineRule="auto"/>
        <w:ind w:left="0" w:right="0" w:firstLine="720"/>
        <w:jc w:val="left"/>
      </w:pPr>
      <w:r>
        <w:rPr>
          <w:color w:val="000000"/>
          <w:spacing w:val="0"/>
          <w:w w:val="100"/>
          <w:position w:val="0"/>
          <w:shd w:val="clear" w:color="auto" w:fill="auto"/>
          <w:lang w:val="ru-RU" w:eastAsia="ru-RU" w:bidi="ru-RU"/>
        </w:rPr>
        <w:t>1. Признать жалобу ООО «Научно-технический центр «Орион» необоснованной.</w:t>
      </w:r>
    </w:p>
    <w:p>
      <w:pPr>
        <w:pStyle w:val="Style2"/>
        <w:keepNext w:val="0"/>
        <w:keepLines w:val="0"/>
        <w:widowControl w:val="0"/>
        <w:shd w:val="clear" w:color="auto" w:fill="auto"/>
        <w:tabs>
          <w:tab w:pos="8059" w:val="left"/>
        </w:tabs>
        <w:bidi w:val="0"/>
        <w:spacing w:before="0" w:after="460" w:line="233" w:lineRule="auto"/>
        <w:ind w:left="0" w:right="840" w:firstLine="0"/>
        <w:jc w:val="both"/>
        <w:rPr>
          <w:sz w:val="20"/>
          <w:szCs w:val="20"/>
        </w:rPr>
      </w:pPr>
      <w:r>
        <w:rPr>
          <w:b/>
          <w:bCs/>
          <w:i/>
          <w:iCs/>
          <w:color w:val="000000"/>
          <w:spacing w:val="0"/>
          <w:w w:val="100"/>
          <w:position w:val="0"/>
          <w:sz w:val="20"/>
          <w:szCs w:val="20"/>
          <w:u w:val="single"/>
          <w:shd w:val="clear" w:color="auto" w:fill="auto"/>
          <w:lang w:val="ru-RU" w:eastAsia="ru-RU" w:bidi="ru-RU"/>
        </w:rPr>
        <w:t>Примечание.</w:t>
      </w:r>
      <w:r>
        <w:rPr>
          <w:b/>
          <w:bCs/>
          <w:i/>
          <w:iCs/>
          <w:color w:val="000000"/>
          <w:spacing w:val="0"/>
          <w:w w:val="100"/>
          <w:position w:val="0"/>
          <w:sz w:val="20"/>
          <w:szCs w:val="20"/>
          <w:shd w:val="clear" w:color="auto" w:fill="auto"/>
          <w:lang w:val="ru-RU" w:eastAsia="ru-RU" w:bidi="ru-RU"/>
        </w:rPr>
        <w:t xml:space="preserve"> </w:t>
      </w:r>
      <w:r>
        <w:rPr>
          <w:i/>
          <w:iCs/>
          <w:color w:val="000000"/>
          <w:spacing w:val="0"/>
          <w:w w:val="100"/>
          <w:position w:val="0"/>
          <w:sz w:val="20"/>
          <w:szCs w:val="20"/>
          <w:shd w:val="clear" w:color="auto" w:fill="auto"/>
          <w:lang w:val="ru-RU" w:eastAsia="ru-RU" w:bidi="ru-RU"/>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tab/>
        <w:t>я</w:t>
      </w:r>
    </w:p>
    <w:p>
      <w:pPr>
        <w:pStyle w:val="Style5"/>
        <w:keepNext/>
        <w:keepLines/>
        <w:widowControl w:val="0"/>
        <w:shd w:val="clear" w:color="auto" w:fill="auto"/>
        <w:bidi w:val="0"/>
        <w:spacing w:before="0" w:after="260" w:line="240" w:lineRule="auto"/>
        <w:ind w:left="0" w:right="840" w:firstLine="0"/>
        <w:jc w:val="both"/>
      </w:pPr>
      <w:bookmarkStart w:id="20" w:name="bookmark20"/>
      <w:r>
        <w:rPr>
          <w:color w:val="000000"/>
          <w:spacing w:val="0"/>
          <w:w w:val="100"/>
          <w:position w:val="0"/>
          <w:shd w:val="clear" w:color="auto" w:fill="auto"/>
          <w:lang w:val="ru-RU" w:eastAsia="ru-RU" w:bidi="ru-RU"/>
        </w:rPr>
        <w:t>Председатель Комиссии</w:t>
      </w:r>
      <w:bookmarkEnd w:id="20"/>
    </w:p>
    <w:p>
      <w:pPr>
        <w:pStyle w:val="Style2"/>
        <w:keepNext w:val="0"/>
        <w:keepLines w:val="0"/>
        <w:widowControl w:val="0"/>
        <w:shd w:val="clear" w:color="auto" w:fill="auto"/>
        <w:bidi w:val="0"/>
        <w:spacing w:before="0" w:after="260" w:line="240" w:lineRule="auto"/>
        <w:ind w:left="0" w:right="840" w:firstLine="0"/>
        <w:jc w:val="both"/>
      </w:pPr>
      <w:r>
        <w:rPr>
          <w:b/>
          <w:bCs/>
          <w:color w:val="000000"/>
          <w:spacing w:val="0"/>
          <w:w w:val="100"/>
          <w:position w:val="0"/>
          <w:shd w:val="clear" w:color="auto" w:fill="auto"/>
          <w:lang w:val="ru-RU" w:eastAsia="ru-RU" w:bidi="ru-RU"/>
        </w:rPr>
        <w:t>Члены Комиссии</w:t>
      </w:r>
    </w:p>
    <w:p>
      <w:pPr>
        <w:pStyle w:val="Style5"/>
        <w:keepNext/>
        <w:keepLines/>
        <w:widowControl w:val="0"/>
        <w:shd w:val="clear" w:color="auto" w:fill="auto"/>
        <w:bidi w:val="0"/>
        <w:spacing w:before="0" w:after="260" w:line="240" w:lineRule="auto"/>
        <w:ind w:left="0" w:right="960" w:firstLine="0"/>
        <w:jc w:val="right"/>
      </w:pPr>
      <w:bookmarkStart w:id="22" w:name="bookmark22"/>
      <w:r>
        <w:rPr>
          <w:color w:val="000000"/>
          <w:spacing w:val="0"/>
          <w:w w:val="100"/>
          <w:position w:val="0"/>
          <w:shd w:val="clear" w:color="auto" w:fill="auto"/>
          <w:lang w:val="ru-RU" w:eastAsia="ru-RU" w:bidi="ru-RU"/>
        </w:rPr>
        <w:t>Ю.А. Поддубная</w:t>
      </w:r>
      <w:bookmarkEnd w:id="22"/>
    </w:p>
    <w:sectPr>
      <w:headerReference w:type="default" r:id="rId12"/>
      <w:footnotePr>
        <w:pos w:val="pageBottom"/>
        <w:numFmt w:val="decimal"/>
        <w:numRestart w:val="continuous"/>
      </w:footnotePr>
      <w:pgSz w:w="11900" w:h="16840"/>
      <w:pgMar w:top="1065" w:right="126" w:bottom="1065" w:left="1292" w:header="0" w:footer="637"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6880860</wp:posOffset>
              </wp:positionH>
              <wp:positionV relativeFrom="page">
                <wp:posOffset>360045</wp:posOffset>
              </wp:positionV>
              <wp:extent cx="219710" cy="109855"/>
              <wp:wrapNone/>
              <wp:docPr id="2" name="Shape 2"/>
              <a:graphic xmlns:a="http://schemas.openxmlformats.org/drawingml/2006/main">
                <a:graphicData uri="http://schemas.microsoft.com/office/word/2010/wordprocessingShape">
                  <wps:wsp>
                    <wps:cNvSpPr txBox="1"/>
                    <wps:spPr>
                      <a:xfrm>
                        <a:ext cx="219710" cy="10985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15"/>
                              <w:szCs w:val="15"/>
                            </w:rPr>
                          </w:pPr>
                          <w:fldSimple w:instr=" PAGE \* MERGEFORMAT ">
                            <w:r>
                              <w:rPr>
                                <w:b/>
                                <w:bCs/>
                                <w:color w:val="000000"/>
                                <w:spacing w:val="0"/>
                                <w:w w:val="100"/>
                                <w:position w:val="0"/>
                                <w:sz w:val="15"/>
                                <w:szCs w:val="15"/>
                                <w:shd w:val="clear" w:color="auto" w:fill="auto"/>
                                <w:lang w:val="ru-RU" w:eastAsia="ru-RU" w:bidi="ru-RU"/>
                              </w:rPr>
                              <w:t>#</w:t>
                            </w:r>
                          </w:fldSimple>
                          <w:r>
                            <w:rPr>
                              <w:b/>
                              <w:bCs/>
                              <w:color w:val="000000"/>
                              <w:spacing w:val="0"/>
                              <w:w w:val="100"/>
                              <w:position w:val="0"/>
                              <w:sz w:val="15"/>
                              <w:szCs w:val="15"/>
                              <w:shd w:val="clear" w:color="auto" w:fill="auto"/>
                              <w:lang w:val="ru-RU" w:eastAsia="ru-RU" w:bidi="ru-RU"/>
                            </w:rPr>
                            <w:t>/6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41.79999999999995pt;margin-top:28.350000000000001pt;width:17.300000000000001pt;height:8.6500000000000004pt;z-index:-188744063;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15"/>
                        <w:szCs w:val="15"/>
                      </w:rPr>
                    </w:pPr>
                    <w:fldSimple w:instr=" PAGE \* MERGEFORMAT ">
                      <w:r>
                        <w:rPr>
                          <w:b/>
                          <w:bCs/>
                          <w:color w:val="000000"/>
                          <w:spacing w:val="0"/>
                          <w:w w:val="100"/>
                          <w:position w:val="0"/>
                          <w:sz w:val="15"/>
                          <w:szCs w:val="15"/>
                          <w:shd w:val="clear" w:color="auto" w:fill="auto"/>
                          <w:lang w:val="ru-RU" w:eastAsia="ru-RU" w:bidi="ru-RU"/>
                        </w:rPr>
                        <w:t>#</w:t>
                      </w:r>
                    </w:fldSimple>
                    <w:r>
                      <w:rPr>
                        <w:b/>
                        <w:bCs/>
                        <w:color w:val="000000"/>
                        <w:spacing w:val="0"/>
                        <w:w w:val="100"/>
                        <w:position w:val="0"/>
                        <w:sz w:val="15"/>
                        <w:szCs w:val="15"/>
                        <w:shd w:val="clear" w:color="auto" w:fill="auto"/>
                        <w:lang w:val="ru-RU" w:eastAsia="ru-RU" w:bidi="ru-RU"/>
                      </w:rPr>
                      <w:t>/6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1038225</wp:posOffset>
              </wp:positionH>
              <wp:positionV relativeFrom="page">
                <wp:posOffset>489585</wp:posOffset>
              </wp:positionV>
              <wp:extent cx="6083935" cy="0"/>
              <wp:wrapNone/>
              <wp:docPr id="4" name="Shape 4"/>
              <a:graphic xmlns:a="http://schemas.openxmlformats.org/drawingml/2006/main">
                <a:graphicData uri="http://schemas.microsoft.com/office/word/2010/wordprocessingShape">
                  <wps:wsp>
                    <wps:cNvCnPr/>
                    <wps:spPr>
                      <a:xfrm>
                        <a:ext cx="6083935" cy="0"/>
                      </a:xfrm>
                      <a:prstGeom prst="straightConnector1"/>
                      <a:ln w="12700">
                        <a:solidFill/>
                      </a:ln>
                    </wps:spPr>
                    <wps:bodyPr/>
                  </wps:wsp>
                </a:graphicData>
              </a:graphic>
            </wp:anchor>
          </w:drawing>
        </mc:Choice>
        <mc:Fallback>
          <w:pict>
            <v:shape o:spt="32" o:oned="true" path="m,l21600,21600e" style="position:absolute;margin-left:81.75pt;margin-top:38.550000000000004pt;width:479.05000000000001pt;height:0;z-index:-251658240;mso-position-horizontal-relative:page;mso-position-vertical-relative:page">
              <v:stroke weight="1.pt"/>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6647815</wp:posOffset>
              </wp:positionH>
              <wp:positionV relativeFrom="page">
                <wp:posOffset>360045</wp:posOffset>
              </wp:positionV>
              <wp:extent cx="222250" cy="109855"/>
              <wp:wrapNone/>
              <wp:docPr id="5" name="Shape 5"/>
              <a:graphic xmlns:a="http://schemas.openxmlformats.org/drawingml/2006/main">
                <a:graphicData uri="http://schemas.microsoft.com/office/word/2010/wordprocessingShape">
                  <wps:wsp>
                    <wps:cNvSpPr txBox="1"/>
                    <wps:spPr>
                      <a:xfrm>
                        <a:ext cx="222250" cy="10985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15"/>
                              <w:szCs w:val="15"/>
                            </w:rPr>
                          </w:pPr>
                          <w:fldSimple w:instr=" PAGE \* MERGEFORMAT ">
                            <w:r>
                              <w:rPr>
                                <w:b/>
                                <w:bCs/>
                                <w:color w:val="000000"/>
                                <w:spacing w:val="0"/>
                                <w:w w:val="100"/>
                                <w:position w:val="0"/>
                                <w:sz w:val="15"/>
                                <w:szCs w:val="15"/>
                                <w:shd w:val="clear" w:color="auto" w:fill="auto"/>
                                <w:lang w:val="ru-RU" w:eastAsia="ru-RU" w:bidi="ru-RU"/>
                              </w:rPr>
                              <w:t>#</w:t>
                            </w:r>
                          </w:fldSimple>
                          <w:r>
                            <w:rPr>
                              <w:b/>
                              <w:bCs/>
                              <w:color w:val="000000"/>
                              <w:spacing w:val="0"/>
                              <w:w w:val="100"/>
                              <w:position w:val="0"/>
                              <w:sz w:val="15"/>
                              <w:szCs w:val="15"/>
                              <w:shd w:val="clear" w:color="auto" w:fill="auto"/>
                              <w:lang w:val="ru-RU" w:eastAsia="ru-RU" w:bidi="ru-RU"/>
                            </w:rPr>
                            <w:t>/6</w:t>
                          </w:r>
                        </w:p>
                      </w:txbxContent>
                    </wps:txbx>
                    <wps:bodyPr wrap="none" lIns="0" tIns="0" rIns="0" bIns="0">
                      <a:spAutoFit/>
                    </wps:bodyPr>
                  </wps:wsp>
                </a:graphicData>
              </a:graphic>
            </wp:anchor>
          </w:drawing>
        </mc:Choice>
        <mc:Fallback>
          <w:pict>
            <v:shape id="_x0000_s1031" type="#_x0000_t202" style="position:absolute;margin-left:523.45000000000005pt;margin-top:28.350000000000001pt;width:17.5pt;height:8.6500000000000004pt;z-index:-188744061;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15"/>
                        <w:szCs w:val="15"/>
                      </w:rPr>
                    </w:pPr>
                    <w:fldSimple w:instr=" PAGE \* MERGEFORMAT ">
                      <w:r>
                        <w:rPr>
                          <w:b/>
                          <w:bCs/>
                          <w:color w:val="000000"/>
                          <w:spacing w:val="0"/>
                          <w:w w:val="100"/>
                          <w:position w:val="0"/>
                          <w:sz w:val="15"/>
                          <w:szCs w:val="15"/>
                          <w:shd w:val="clear" w:color="auto" w:fill="auto"/>
                          <w:lang w:val="ru-RU" w:eastAsia="ru-RU" w:bidi="ru-RU"/>
                        </w:rPr>
                        <w:t>#</w:t>
                      </w:r>
                    </w:fldSimple>
                    <w:r>
                      <w:rPr>
                        <w:b/>
                        <w:bCs/>
                        <w:color w:val="000000"/>
                        <w:spacing w:val="0"/>
                        <w:w w:val="100"/>
                        <w:position w:val="0"/>
                        <w:sz w:val="15"/>
                        <w:szCs w:val="15"/>
                        <w:shd w:val="clear" w:color="auto" w:fill="auto"/>
                        <w:lang w:val="ru-RU" w:eastAsia="ru-RU" w:bidi="ru-RU"/>
                      </w:rPr>
                      <w:t>/6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795655</wp:posOffset>
              </wp:positionH>
              <wp:positionV relativeFrom="page">
                <wp:posOffset>506095</wp:posOffset>
              </wp:positionV>
              <wp:extent cx="6096000" cy="0"/>
              <wp:wrapNone/>
              <wp:docPr id="7" name="Shape 7"/>
              <a:graphic xmlns:a="http://schemas.openxmlformats.org/drawingml/2006/main">
                <a:graphicData uri="http://schemas.microsoft.com/office/word/2010/wordprocessingShape">
                  <wps:wsp>
                    <wps:cNvCnPr/>
                    <wps:spPr>
                      <a:xfrm>
                        <a:ext cx="6096000" cy="0"/>
                      </a:xfrm>
                      <a:prstGeom prst="straightConnector1"/>
                      <a:ln w="12700">
                        <a:solidFill/>
                      </a:ln>
                    </wps:spPr>
                    <wps:bodyPr/>
                  </wps:wsp>
                </a:graphicData>
              </a:graphic>
            </wp:anchor>
          </w:drawing>
        </mc:Choice>
        <mc:Fallback>
          <w:pict>
            <v:shape o:spt="32" o:oned="true" path="m,l21600,21600e" style="position:absolute;margin-left:62.649999999999999pt;margin-top:39.850000000000001pt;width:480.pt;height:0;z-index:-251658240;mso-position-horizontal-relative:page;mso-position-vertical-relative:page">
              <v:stroke weight="1.pt"/>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6678295</wp:posOffset>
              </wp:positionH>
              <wp:positionV relativeFrom="page">
                <wp:posOffset>527050</wp:posOffset>
              </wp:positionV>
              <wp:extent cx="219710" cy="115570"/>
              <wp:wrapNone/>
              <wp:docPr id="14" name="Shape 14"/>
              <a:graphic xmlns:a="http://schemas.openxmlformats.org/drawingml/2006/main">
                <a:graphicData uri="http://schemas.microsoft.com/office/word/2010/wordprocessingShape">
                  <wps:wsp>
                    <wps:cNvSpPr txBox="1"/>
                    <wps:spPr>
                      <a:xfrm>
                        <a:ext cx="219710" cy="11557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ru-RU" w:eastAsia="ru-RU" w:bidi="ru-RU"/>
                            </w:rPr>
                            <w:t>дб/</w:t>
                          </w:r>
                          <w:fldSimple w:instr=" PAGE \* MERGEFORMAT ">
                            <w:r>
                              <w:rPr>
                                <w:b/>
                                <w:bCs/>
                                <w:color w:val="000000"/>
                                <w:spacing w:val="0"/>
                                <w:w w:val="100"/>
                                <w:position w:val="0"/>
                                <w:sz w:val="15"/>
                                <w:szCs w:val="15"/>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0" type="#_x0000_t202" style="position:absolute;margin-left:525.85000000000002pt;margin-top:41.5pt;width:17.300000000000001pt;height:9.0999999999999996pt;z-index:-188744058;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ru-RU" w:eastAsia="ru-RU" w:bidi="ru-RU"/>
                      </w:rPr>
                      <w:t>дб/</w:t>
                    </w:r>
                    <w:fldSimple w:instr=" PAGE \* MERGEFORMAT ">
                      <w:r>
                        <w:rPr>
                          <w:b/>
                          <w:bCs/>
                          <w:color w:val="000000"/>
                          <w:spacing w:val="0"/>
                          <w:w w:val="100"/>
                          <w:position w:val="0"/>
                          <w:sz w:val="15"/>
                          <w:szCs w:val="15"/>
                          <w:shd w:val="clear" w:color="auto" w:fill="auto"/>
                          <w:lang w:val="ru-RU" w:eastAsia="ru-RU" w:bidi="ru-RU"/>
                        </w:rPr>
                        <w:t>#</w:t>
                      </w:r>
                    </w:fldSimple>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838200</wp:posOffset>
              </wp:positionH>
              <wp:positionV relativeFrom="page">
                <wp:posOffset>653415</wp:posOffset>
              </wp:positionV>
              <wp:extent cx="6007735" cy="0"/>
              <wp:wrapNone/>
              <wp:docPr id="16" name="Shape 16"/>
              <a:graphic xmlns:a="http://schemas.openxmlformats.org/drawingml/2006/main">
                <a:graphicData uri="http://schemas.microsoft.com/office/word/2010/wordprocessingShape">
                  <wps:wsp>
                    <wps:cNvCnPr/>
                    <wps:spPr>
                      <a:xfrm>
                        <a:ext cx="6007735" cy="0"/>
                      </a:xfrm>
                      <a:prstGeom prst="straightConnector1"/>
                      <a:ln w="12700">
                        <a:solidFill/>
                      </a:ln>
                    </wps:spPr>
                    <wps:bodyPr/>
                  </wps:wsp>
                </a:graphicData>
              </a:graphic>
            </wp:anchor>
          </w:drawing>
        </mc:Choice>
        <mc:Fallback>
          <w:pict>
            <v:shape o:spt="32" o:oned="true" path="m,l21600,21600e" style="position:absolute;margin-left:66.pt;margin-top:51.450000000000003pt;width:473.05000000000001pt;height:0;z-index:-251658240;mso-position-horizontal-relative:page;mso-position-vertical-relative:page">
              <v:stroke weight="1.pt"/>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sz w:val="22"/>
      <w:szCs w:val="22"/>
      <w:u w:val="none"/>
    </w:rPr>
  </w:style>
  <w:style w:type="character" w:customStyle="1" w:styleId="CharStyle6">
    <w:name w:val="Заголовок №1_"/>
    <w:basedOn w:val="DefaultParagraphFont"/>
    <w:link w:val="Style5"/>
    <w:rPr>
      <w:rFonts w:ascii="Times New Roman" w:eastAsia="Times New Roman" w:hAnsi="Times New Roman" w:cs="Times New Roman"/>
      <w:b/>
      <w:bCs/>
      <w:i w:val="0"/>
      <w:iCs w:val="0"/>
      <w:smallCaps w:val="0"/>
      <w:strike w:val="0"/>
      <w:sz w:val="22"/>
      <w:szCs w:val="22"/>
      <w:u w:val="none"/>
    </w:rPr>
  </w:style>
  <w:style w:type="character" w:customStyle="1" w:styleId="CharStyle8">
    <w:name w:val="Основной текст (3)_"/>
    <w:basedOn w:val="DefaultParagraphFont"/>
    <w:link w:val="Style7"/>
    <w:rPr>
      <w:rFonts w:ascii="Times New Roman" w:eastAsia="Times New Roman" w:hAnsi="Times New Roman" w:cs="Times New Roman"/>
      <w:b w:val="0"/>
      <w:bCs w:val="0"/>
      <w:i w:val="0"/>
      <w:iCs w:val="0"/>
      <w:smallCaps w:val="0"/>
      <w:strike w:val="0"/>
      <w:sz w:val="17"/>
      <w:szCs w:val="17"/>
      <w:u w:val="none"/>
    </w:rPr>
  </w:style>
  <w:style w:type="character" w:customStyle="1" w:styleId="CharStyle10">
    <w:name w:val="Основной текст (4)_"/>
    <w:basedOn w:val="DefaultParagraphFont"/>
    <w:link w:val="Style9"/>
    <w:rPr>
      <w:rFonts w:ascii="Arial" w:eastAsia="Arial" w:hAnsi="Arial" w:cs="Arial"/>
      <w:b w:val="0"/>
      <w:bCs w:val="0"/>
      <w:i w:val="0"/>
      <w:iCs w:val="0"/>
      <w:smallCaps w:val="0"/>
      <w:strike w:val="0"/>
      <w:sz w:val="20"/>
      <w:szCs w:val="20"/>
      <w:u w:val="none"/>
      <w:lang w:val="1024"/>
    </w:rPr>
  </w:style>
  <w:style w:type="character" w:customStyle="1" w:styleId="CharStyle15">
    <w:name w:val="Основной текст (2)_"/>
    <w:basedOn w:val="DefaultParagraphFont"/>
    <w:link w:val="Style14"/>
    <w:rPr>
      <w:rFonts w:ascii="Times New Roman" w:eastAsia="Times New Roman" w:hAnsi="Times New Roman" w:cs="Times New Roman"/>
      <w:b w:val="0"/>
      <w:bCs w:val="0"/>
      <w:i w:val="0"/>
      <w:iCs w:val="0"/>
      <w:smallCaps w:val="0"/>
      <w:strike w:val="0"/>
      <w:sz w:val="10"/>
      <w:szCs w:val="10"/>
      <w:u w:val="none"/>
    </w:rPr>
  </w:style>
  <w:style w:type="character" w:customStyle="1" w:styleId="CharStyle17">
    <w:name w:val="Колонтитул (2)_"/>
    <w:basedOn w:val="DefaultParagraphFont"/>
    <w:link w:val="Style16"/>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w:basedOn w:val="Normal"/>
    <w:link w:val="CharStyle3"/>
    <w:pPr>
      <w:widowControl w:val="0"/>
      <w:shd w:val="clear" w:color="auto" w:fill="auto"/>
      <w:spacing w:line="262"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5">
    <w:name w:val="Заголовок №1"/>
    <w:basedOn w:val="Normal"/>
    <w:link w:val="CharStyle6"/>
    <w:pPr>
      <w:widowControl w:val="0"/>
      <w:shd w:val="clear" w:color="auto" w:fill="auto"/>
      <w:spacing w:after="130" w:line="254" w:lineRule="auto"/>
      <w:outlineLvl w:val="0"/>
    </w:pPr>
    <w:rPr>
      <w:rFonts w:ascii="Times New Roman" w:eastAsia="Times New Roman" w:hAnsi="Times New Roman" w:cs="Times New Roman"/>
      <w:b/>
      <w:bCs/>
      <w:i w:val="0"/>
      <w:iCs w:val="0"/>
      <w:smallCaps w:val="0"/>
      <w:strike w:val="0"/>
      <w:sz w:val="22"/>
      <w:szCs w:val="22"/>
      <w:u w:val="none"/>
    </w:rPr>
  </w:style>
  <w:style w:type="paragraph" w:customStyle="1" w:styleId="Style7">
    <w:name w:val="Основной текст (3)"/>
    <w:basedOn w:val="Normal"/>
    <w:link w:val="CharStyle8"/>
    <w:pPr>
      <w:widowControl w:val="0"/>
      <w:shd w:val="clear" w:color="auto" w:fill="auto"/>
      <w:spacing w:line="283" w:lineRule="auto"/>
      <w:jc w:val="center"/>
    </w:pPr>
    <w:rPr>
      <w:rFonts w:ascii="Times New Roman" w:eastAsia="Times New Roman" w:hAnsi="Times New Roman" w:cs="Times New Roman"/>
      <w:b w:val="0"/>
      <w:bCs w:val="0"/>
      <w:i w:val="0"/>
      <w:iCs w:val="0"/>
      <w:smallCaps w:val="0"/>
      <w:strike w:val="0"/>
      <w:sz w:val="17"/>
      <w:szCs w:val="17"/>
      <w:u w:val="none"/>
    </w:rPr>
  </w:style>
  <w:style w:type="paragraph" w:customStyle="1" w:styleId="Style9">
    <w:name w:val="Основной текст (4)"/>
    <w:basedOn w:val="Normal"/>
    <w:link w:val="CharStyle10"/>
    <w:pPr>
      <w:widowControl w:val="0"/>
      <w:shd w:val="clear" w:color="auto" w:fill="auto"/>
    </w:pPr>
    <w:rPr>
      <w:rFonts w:ascii="Arial" w:eastAsia="Arial" w:hAnsi="Arial" w:cs="Arial"/>
      <w:b w:val="0"/>
      <w:bCs w:val="0"/>
      <w:i w:val="0"/>
      <w:iCs w:val="0"/>
      <w:smallCaps w:val="0"/>
      <w:strike w:val="0"/>
      <w:sz w:val="20"/>
      <w:szCs w:val="20"/>
      <w:u w:val="none"/>
      <w:lang w:val="1024"/>
    </w:rPr>
  </w:style>
  <w:style w:type="paragraph" w:customStyle="1" w:styleId="Style14">
    <w:name w:val="Основной текст (2)"/>
    <w:basedOn w:val="Normal"/>
    <w:link w:val="CharStyle15"/>
    <w:pPr>
      <w:widowControl w:val="0"/>
      <w:shd w:val="clear" w:color="auto" w:fill="auto"/>
      <w:spacing w:after="100"/>
    </w:pPr>
    <w:rPr>
      <w:rFonts w:ascii="Times New Roman" w:eastAsia="Times New Roman" w:hAnsi="Times New Roman" w:cs="Times New Roman"/>
      <w:b w:val="0"/>
      <w:bCs w:val="0"/>
      <w:i w:val="0"/>
      <w:iCs w:val="0"/>
      <w:smallCaps w:val="0"/>
      <w:strike w:val="0"/>
      <w:sz w:val="10"/>
      <w:szCs w:val="10"/>
      <w:u w:val="none"/>
    </w:rPr>
  </w:style>
  <w:style w:type="paragraph" w:customStyle="1" w:styleId="Style16">
    <w:name w:val="Колонтитул (2)"/>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image" Target="media/image2.jpeg"/><Relationship Id="rId11" Type="http://schemas.openxmlformats.org/officeDocument/2006/relationships/image" Target="media/image2.jpeg" TargetMode="External"/><Relationship Id="rId12" Type="http://schemas.openxmlformats.org/officeDocument/2006/relationships/header" Target="header4.xml"/></Relationships>
</file>