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360" w:lineRule="exact"/>
      </w:pPr>
      <w:r>
        <w:drawing>
          <wp:anchor distT="0" distB="0" distL="0" distR="0" simplePos="0" relativeHeight="62914690" behindDoc="1" locked="0" layoutInCell="1" allowOverlap="1">
            <wp:simplePos x="0" y="0"/>
            <wp:positionH relativeFrom="page">
              <wp:posOffset>1784985</wp:posOffset>
            </wp:positionH>
            <wp:positionV relativeFrom="margin">
              <wp:posOffset>0</wp:posOffset>
            </wp:positionV>
            <wp:extent cx="511810" cy="60960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p>
    <w:p>
      <w:pPr>
        <w:widowControl w:val="0"/>
        <w:spacing w:after="594" w:line="1" w:lineRule="exact"/>
      </w:pPr>
    </w:p>
    <w:p>
      <w:pPr>
        <w:widowControl w:val="0"/>
        <w:spacing w:line="1" w:lineRule="exact"/>
        <w:sectPr>
          <w:headerReference w:type="default" r:id="rId7"/>
          <w:headerReference w:type="first" r:id="rId8"/>
          <w:footnotePr>
            <w:pos w:val="pageBottom"/>
            <w:numFmt w:val="decimal"/>
            <w:numRestart w:val="continuous"/>
          </w:footnotePr>
          <w:pgSz w:w="11900" w:h="16840"/>
          <w:pgMar w:top="298" w:right="1102" w:bottom="957" w:left="1107" w:header="0" w:footer="3" w:gutter="0"/>
          <w:pgNumType w:start="1"/>
          <w:cols w:space="720"/>
          <w:noEndnote/>
          <w:titlePg/>
          <w:rtlGutter w:val="0"/>
          <w:docGrid w:linePitch="360"/>
        </w:sectPr>
      </w:pPr>
    </w:p>
    <w:p>
      <w:pPr>
        <w:pStyle w:val="Style2"/>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2"/>
        <w:keepNext w:val="0"/>
        <w:keepLines w:val="0"/>
        <w:widowControl w:val="0"/>
        <w:shd w:val="clear" w:color="auto" w:fill="auto"/>
        <w:tabs>
          <w:tab w:leader="underscore" w:pos="1762" w:val="left"/>
          <w:tab w:leader="underscore" w:pos="3926" w:val="left"/>
        </w:tabs>
        <w:bidi w:val="0"/>
        <w:spacing w:before="0" w:line="240" w:lineRule="auto"/>
        <w:ind w:left="0" w:right="0" w:firstLine="0"/>
        <w:jc w:val="center"/>
      </w:pPr>
      <w:r>
        <w:rPr>
          <w:spacing w:val="0"/>
          <w:w w:val="100"/>
          <w:position w:val="0"/>
          <w:shd w:val="clear" w:color="auto" w:fill="auto"/>
          <w:lang w:val="ru-RU" w:eastAsia="ru-RU" w:bidi="ru-RU"/>
        </w:rPr>
        <w:tab/>
        <w:t xml:space="preserve"> №</w:t>
        <w:tab/>
      </w:r>
    </w:p>
    <w:p>
      <w:pPr>
        <w:pStyle w:val="Style2"/>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 xml:space="preserve">На№  от</w:t>
      </w:r>
    </w:p>
    <w:p>
      <w:pPr>
        <w:pStyle w:val="Style6"/>
        <w:keepNext w:val="0"/>
        <w:keepLines w:val="0"/>
        <w:widowControl w:val="0"/>
        <w:shd w:val="clear" w:color="auto" w:fill="auto"/>
        <w:bidi w:val="0"/>
        <w:spacing w:before="0" w:after="200" w:line="211" w:lineRule="auto"/>
        <w:ind w:left="0" w:right="0" w:firstLine="0"/>
        <w:jc w:val="left"/>
      </w:pPr>
      <w:r>
        <w:rPr>
          <w:color w:val="000000"/>
          <w:spacing w:val="0"/>
          <w:w w:val="100"/>
          <w:position w:val="0"/>
          <w:shd w:val="clear" w:color="auto" w:fill="auto"/>
          <w:lang w:val="ru-RU" w:eastAsia="ru-RU" w:bidi="ru-RU"/>
        </w:rPr>
        <w:t>ФГБУ ФНКЦ ФХМ им. Ю.М. Лопухина ФМБА России</w:t>
      </w:r>
    </w:p>
    <w:p>
      <w:pPr>
        <w:pStyle w:val="Style6"/>
        <w:keepNext w:val="0"/>
        <w:keepLines w:val="0"/>
        <w:widowControl w:val="0"/>
        <w:shd w:val="clear" w:color="auto" w:fill="auto"/>
        <w:bidi w:val="0"/>
        <w:spacing w:before="0" w:after="200" w:line="211" w:lineRule="auto"/>
        <w:ind w:left="0" w:right="0" w:firstLine="0"/>
        <w:jc w:val="left"/>
      </w:pPr>
      <w:r>
        <w:rPr>
          <w:color w:val="000000"/>
          <w:spacing w:val="0"/>
          <w:w w:val="100"/>
          <w:position w:val="0"/>
          <w:shd w:val="clear" w:color="auto" w:fill="auto"/>
          <w:lang w:val="ru-RU" w:eastAsia="ru-RU" w:bidi="ru-RU"/>
        </w:rPr>
        <w:t>^одоVО^@гсрст.о^д</w:t>
      </w:r>
    </w:p>
    <w:p>
      <w:pPr>
        <w:pStyle w:val="Style6"/>
        <w:keepNext w:val="0"/>
        <w:keepLines w:val="0"/>
        <w:widowControl w:val="0"/>
        <w:shd w:val="clear" w:color="auto" w:fill="auto"/>
        <w:bidi w:val="0"/>
        <w:spacing w:before="0" w:after="200" w:line="211" w:lineRule="auto"/>
        <w:ind w:left="0" w:right="0" w:firstLine="0"/>
        <w:jc w:val="left"/>
      </w:pPr>
      <w:r>
        <w:rPr>
          <w:color w:val="000000"/>
          <w:spacing w:val="0"/>
          <w:w w:val="100"/>
          <w:position w:val="0"/>
          <w:shd w:val="clear" w:color="auto" w:fill="auto"/>
          <w:lang w:val="ru-RU" w:eastAsia="ru-RU" w:bidi="ru-RU"/>
        </w:rPr>
        <w:t>ООО «Ангиотрэк»</w:t>
      </w:r>
    </w:p>
    <w:p>
      <w:pPr>
        <w:pStyle w:val="Style6"/>
        <w:keepNext w:val="0"/>
        <w:keepLines w:val="0"/>
        <w:widowControl w:val="0"/>
        <w:shd w:val="clear" w:color="auto" w:fill="auto"/>
        <w:bidi w:val="0"/>
        <w:spacing w:before="0" w:after="0" w:line="211" w:lineRule="auto"/>
        <w:ind w:left="0" w:right="0" w:firstLine="0"/>
        <w:jc w:val="left"/>
        <w:sectPr>
          <w:footnotePr>
            <w:pos w:val="pageBottom"/>
            <w:numFmt w:val="decimal"/>
            <w:numRestart w:val="continuous"/>
          </w:footnotePr>
          <w:type w:val="continuous"/>
          <w:pgSz w:w="11900" w:h="16840"/>
          <w:pgMar w:top="298" w:right="2465" w:bottom="957" w:left="1140" w:header="0" w:footer="3" w:gutter="0"/>
          <w:cols w:num="2" w:space="720" w:equalWidth="0">
            <w:col w:w="4061" w:space="614"/>
            <w:col w:w="3619"/>
          </w:cols>
          <w:noEndnote/>
          <w:rtlGutter w:val="0"/>
          <w:docGrid w:linePitch="360"/>
        </w:sectPr>
      </w:pPr>
      <w:r>
        <w:rPr>
          <w:color w:val="000000"/>
          <w:spacing w:val="0"/>
          <w:w w:val="100"/>
          <w:position w:val="0"/>
          <w:shd w:val="clear" w:color="auto" w:fill="auto"/>
          <w:lang w:val="ru-RU" w:eastAsia="ru-RU" w:bidi="ru-RU"/>
        </w:rPr>
        <w:t>оооапдю!гек@дтай.сот</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09" w:after="10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196" w:right="0" w:bottom="1158" w:left="0" w:header="0" w:footer="3" w:gutter="0"/>
          <w:cols w:space="720"/>
          <w:noEndnote/>
          <w:rtlGutter w:val="0"/>
          <w:docGrid w:linePitch="360"/>
        </w:sectPr>
      </w:pPr>
    </w:p>
    <w:p>
      <w:pPr>
        <w:pStyle w:val="Style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№077/06/106-26493-ЭП/23/2023 о нарушении</w:t>
        <w:br/>
        <w:t>законодательства об осуществлении закупок</w:t>
      </w:r>
    </w:p>
    <w:p>
      <w:pPr>
        <w:pStyle w:val="Style6"/>
        <w:keepNext w:val="0"/>
        <w:keepLines w:val="0"/>
        <w:widowControl w:val="0"/>
        <w:shd w:val="clear" w:color="auto" w:fill="auto"/>
        <w:tabs>
          <w:tab w:pos="8386" w:val="left"/>
        </w:tabs>
        <w:bidi w:val="0"/>
        <w:spacing w:before="0" w:after="0" w:line="240" w:lineRule="auto"/>
        <w:ind w:left="0" w:right="0" w:firstLine="0"/>
        <w:jc w:val="both"/>
      </w:pPr>
      <w:r>
        <w:rPr>
          <w:b/>
          <w:bCs/>
          <w:color w:val="000000"/>
          <w:spacing w:val="0"/>
          <w:w w:val="100"/>
          <w:position w:val="0"/>
          <w:shd w:val="clear" w:color="auto" w:fill="auto"/>
          <w:lang w:val="ru-RU" w:eastAsia="ru-RU" w:bidi="ru-RU"/>
        </w:rPr>
        <w:t>02.05.2023</w:t>
        <w:tab/>
        <w:t>г. Москва</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Председательствующего - главного государственного инспектора отдела обжалования государственных закупок С.И. Казарина,</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Членов Комиссии:</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Главного специалиста-эксперта отдела обжалования государственных закупок А.А. Кутейникова,</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Ведущего специалиста-эксперта отдела обжалования государственных закупок Э.З. Гугава,</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видеоконференцсвязи)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2019-пСоУ</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при участии представителей:</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ФГБУ ФНКЦ ФХМ им. Ю.М. Лопухина ФМБА России: В.Ю. Демченко (доверенность от 06.12.2022 №198),</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отсутствие представителей ООО «Ангиотрэк», о времени и порядке заседания Комиссии уведомленных письмом Московского УФАС России,</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рассмотрев жалобу ООО «Ангиотрэк» (далее — Заявитель) на действия ФГБУ ФНКЦ ФХМ им. Ю.М. Лопухина ФМБА России (далее — Заказчик) при проведении электронного аукциона на право заключения государственного контракта на поставку расходных материалов для ангиографа для нужд ФГБУ ФНКЦ ФХМ им академика Ю.М. Лопухина ФМБА России (10) (Закупка № 0373100013423000123) (далее - Аукцион) в соответствии с Федеральным </w:t>
      </w:r>
      <w:r>
        <w:rPr>
          <w:color w:val="000000"/>
          <w:spacing w:val="0"/>
          <w:w w:val="100"/>
          <w:position w:val="0"/>
          <w:shd w:val="clear" w:color="auto" w:fill="auto"/>
          <w:lang w:val="ru-RU" w:eastAsia="ru-RU" w:bidi="ru-RU"/>
        </w:rPr>
        <w:t>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электронного аукциона.</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Заявитель обжалует действия Заказчика, выразившиеся в утверждении извещения об осуществлении закупки в нарушение требований Закона о контрактной системе.</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 заседании Комиссии Управления Заказчиком представлены документы и сведения, запрашиваемые письмом Московского УФАС России.</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Комиссия Управления установила следующее.</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силу п.1,3 ч.2 ст.42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Закона о контрактной системе,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Ч.1 ст.33 Закона о контрактной системе установлено, что Заказчик при описании в документации о закупке объекта закупки должен руководствоваться следующими правилами:</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w:t>
      </w:r>
      <w:r>
        <w:rPr>
          <w:color w:val="000000"/>
          <w:spacing w:val="0"/>
          <w:w w:val="100"/>
          <w:position w:val="0"/>
          <w:shd w:val="clear" w:color="auto" w:fill="auto"/>
          <w:lang w:val="ru-RU" w:eastAsia="ru-RU" w:bidi="ru-RU"/>
        </w:rPr>
        <w:t>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ч.2 ст.33 Закона о контрактной системе описание объекта закупки в соответствии с требованиями, указанными в части 1 ст.33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Заявитель в своей жалобе указывает, что Заказчиком в извещении об осуществлении закупки установлены неправомерные требования об остаточном сроке годности медицинских изделий, выраженный в процентах, тогда как срок годности определен конкретным периодом (например, в годах, месяцах, днях), в течение которого медицинские изделия сохраняют свою пригодность, либо конкретной датой, до которой указанные товары сохраняют свою пригодность для использования по назначению, что влечет за собой сокращение количества участников закупки, поскольку на требуемые медицинские изделия различные производители устанавливают различные сроки годности, так, например:</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«Остаточный срок годности товара на момент поставки не менее 80% (УКАЗЫВАЕТСЯ В ЗАЯВКЕ ОБЯЗАТЕЛЬНО)».</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Управления отмечает, что требование об остаточном сроке годности медицинского изделия, выраженном в процентах, влечет за собой установление неравных условий для производителей лекарственных препаратов, ограничение конкуренции и сокращение количества участников закупок. В связи с чем, остаточный срок годности товаров, установленный в документации, должен быть обоснован и определен конкретным периодом (например, в годах, месяцах, днях), в течение которого медицинские изделия сохраняют свою пригодность, либо конкретной датой, до которой указанные товары сохраняют свою пригодность для использования по назначению.</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Кроме того, Комиссия Управления отмечает, что согласно позиции, изложенной в письме ФАС России от 24.05.2017 г. К ИА/34601/17: «В целях предупреждения ограничения конкуренции ФАС России считает, </w:t>
      </w:r>
      <w:r>
        <w:rPr>
          <w:color w:val="000000"/>
          <w:spacing w:val="0"/>
          <w:w w:val="100"/>
          <w:position w:val="0"/>
          <w:shd w:val="clear" w:color="auto" w:fill="auto"/>
          <w:lang w:val="ru-RU" w:eastAsia="ru-RU" w:bidi="ru-RU"/>
        </w:rPr>
        <w:t>что остаточный срок годности медицинских изделий, установленный в документации о закупках государственными и муниципальными заказчиками, должен быть обоснован и определен конкретным периодом (например, в годах, месяцах, днях), в течение которого медицинские изделия сохраняют свою пригодность, либо конкретной датой, до которой медицинские изделия должны сохранять свою пригодность для использования по назначению. Вместе с тем требование заказчиков к остаточному сроку годности, значительно превышающему планируемый период потребления (например, при планировании закупки на календарный год заказчиком требуется к поставке лекарственный препарат с остаточным сроком годности 18 месяцев), может иметь признаки нарушения Закона о контрактной системе и антимонопольного законодательства. В любом случае при наличии жалобы, в том числе поданной в соответствии с Законом о защите конкуренции, на проведение закупки объективность и обоснованность установления остаточного срока годности определяется антимонопольным органом в порядке, предусмотренном Законом о контрактной системе с учетом обстоятельств и условий определенной закупки».</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 основании вышеизложенного, Комиссия Управления приходит к выводу о признании данного довода жалобы обоснованным и о нарушении Заказчиком п.1 ч.1 ст.33 Закона о контрактной системе и содержат признаки состава административного правонарушения, предусмотренного ч. 1.4 ст. 7.30 Кодекса Российской Федерации об административных правонарушениях.</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Вместе с тем при разрешении вопроса о выдаче Заказчику обязательного для исполнения предписания об устранении нарушений законодательства о контрактной системе Комиссия Управления исходила из того, что согласно подведения итогов определения поставщика (подрядчика, исполнителя) от 26.04.2023 №ИЭА1 на участие в закупке подано 2 заявки, признанных соответствующими требованиям извещения, при этом достигнутое снижение в ходе аукциона составило 18,50%, что, в свою очередь, указывает на то, что допущенные нарушения не повлияли на ход и результаты проведения закупки.</w:t>
      </w:r>
    </w:p>
    <w:p>
      <w:pPr>
        <w:pStyle w:val="Style6"/>
        <w:keepNext w:val="0"/>
        <w:keepLines w:val="0"/>
        <w:widowControl w:val="0"/>
        <w:shd w:val="clear" w:color="auto" w:fill="auto"/>
        <w:bidi w:val="0"/>
        <w:spacing w:before="0" w:after="0" w:line="240" w:lineRule="auto"/>
        <w:ind w:left="0" w:right="0" w:firstLine="740"/>
        <w:jc w:val="both"/>
        <w:sectPr>
          <w:footnotePr>
            <w:pos w:val="pageBottom"/>
            <w:numFmt w:val="decimal"/>
            <w:numRestart w:val="continuous"/>
          </w:footnotePr>
          <w:type w:val="continuous"/>
          <w:pgSz w:w="11900" w:h="16840"/>
          <w:pgMar w:top="1196" w:right="766" w:bottom="1158" w:left="944" w:header="0" w:footer="3" w:gutter="0"/>
          <w:cols w:space="720"/>
          <w:noEndnote/>
          <w:rtlGutter w:val="0"/>
          <w:docGrid w:linePitch="360"/>
        </w:sectPr>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6"/>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 Е Ш И Л А:</w:t>
      </w:r>
    </w:p>
    <w:p>
      <w:pPr>
        <w:pStyle w:val="Style6"/>
        <w:keepNext w:val="0"/>
        <w:keepLines w:val="0"/>
        <w:widowControl w:val="0"/>
        <w:numPr>
          <w:ilvl w:val="0"/>
          <w:numId w:val="1"/>
        </w:numPr>
        <w:shd w:val="clear" w:color="auto" w:fill="auto"/>
        <w:tabs>
          <w:tab w:pos="1075"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Признать жалобу ООО «Ангиотрэк» на действия ФГБУ ФНКЦ ФХМ им. Ю.М. Лопухина ФМБА России обоснованной.</w:t>
      </w:r>
    </w:p>
    <w:p>
      <w:pPr>
        <w:pStyle w:val="Style6"/>
        <w:keepNext w:val="0"/>
        <w:keepLines w:val="0"/>
        <w:widowControl w:val="0"/>
        <w:numPr>
          <w:ilvl w:val="0"/>
          <w:numId w:val="1"/>
        </w:numPr>
        <w:shd w:val="clear" w:color="auto" w:fill="auto"/>
        <w:tabs>
          <w:tab w:pos="1075"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Признать в действиях Заказчика нарушение п.1 ч.1 ст.33 Закона о контрактной системе.</w:t>
      </w:r>
    </w:p>
    <w:p>
      <w:pPr>
        <w:pStyle w:val="Style6"/>
        <w:keepNext w:val="0"/>
        <w:keepLines w:val="0"/>
        <w:widowControl w:val="0"/>
        <w:numPr>
          <w:ilvl w:val="0"/>
          <w:numId w:val="1"/>
        </w:numPr>
        <w:shd w:val="clear" w:color="auto" w:fill="auto"/>
        <w:tabs>
          <w:tab w:pos="1075"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Обязательное для исполнения предписание об устранении нарушений законодательства о контрактной системе Заказчику не выдавать, поскольку выявленные нарушения не повлияли на определение поставщика (подрядчика, исполнителя).</w:t>
      </w:r>
    </w:p>
    <w:p>
      <w:pPr>
        <w:pStyle w:val="Style6"/>
        <w:keepNext w:val="0"/>
        <w:keepLines w:val="0"/>
        <w:widowControl w:val="0"/>
        <w:numPr>
          <w:ilvl w:val="0"/>
          <w:numId w:val="1"/>
        </w:numPr>
        <w:shd w:val="clear" w:color="auto" w:fill="auto"/>
        <w:tabs>
          <w:tab w:pos="1075" w:val="left"/>
        </w:tabs>
        <w:bidi w:val="0"/>
        <w:spacing w:before="0" w:after="280" w:line="240" w:lineRule="auto"/>
        <w:ind w:left="0" w:right="0" w:firstLine="580"/>
        <w:jc w:val="both"/>
      </w:pPr>
      <w:r>
        <w:rPr>
          <w:color w:val="000000"/>
          <w:spacing w:val="0"/>
          <w:w w:val="100"/>
          <w:position w:val="0"/>
          <w:shd w:val="clear" w:color="auto" w:fill="auto"/>
          <w:lang w:val="ru-RU" w:eastAsia="ru-RU" w:bidi="ru-RU"/>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6"/>
        <w:keepNext w:val="0"/>
        <w:keepLines w:val="0"/>
        <w:widowControl w:val="0"/>
        <w:shd w:val="clear" w:color="auto" w:fill="auto"/>
        <w:bidi w:val="0"/>
        <w:spacing w:before="0" w:after="180" w:line="240" w:lineRule="auto"/>
        <w:ind w:left="0" w:right="0" w:firstLine="58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6"/>
        <w:keepNext w:val="0"/>
        <w:keepLines w:val="0"/>
        <w:widowControl w:val="0"/>
        <w:shd w:val="clear" w:color="auto" w:fill="auto"/>
        <w:bidi w:val="0"/>
        <w:spacing w:before="0" w:after="0" w:line="240" w:lineRule="auto"/>
        <w:ind w:left="0" w:right="0" w:firstLine="0"/>
        <w:jc w:val="right"/>
      </w:pPr>
      <w:r>
        <mc:AlternateContent>
          <mc:Choice Requires="wps">
            <w:drawing>
              <wp:anchor distT="0" distB="0" distL="114300" distR="114300" simplePos="0" relativeHeight="125829378" behindDoc="0" locked="0" layoutInCell="1" allowOverlap="1">
                <wp:simplePos x="0" y="0"/>
                <wp:positionH relativeFrom="page">
                  <wp:posOffset>641350</wp:posOffset>
                </wp:positionH>
                <wp:positionV relativeFrom="paragraph">
                  <wp:posOffset>12700</wp:posOffset>
                </wp:positionV>
                <wp:extent cx="1859280" cy="457200"/>
                <wp:wrapSquare wrapText="bothSides"/>
                <wp:docPr id="5" name="Shape 5"/>
                <a:graphic xmlns:a="http://schemas.openxmlformats.org/drawingml/2006/main">
                  <a:graphicData uri="http://schemas.microsoft.com/office/word/2010/wordprocessingShape">
                    <wps:wsp>
                      <wps:cNvSpPr txBox="1"/>
                      <wps:spPr>
                        <a:xfrm>
                          <a:ext cx="1859280" cy="45720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wps:txbx>
                      <wps:bodyPr lIns="0" tIns="0" rIns="0" bIns="0">
                        <a:noAutoFit/>
                      </wps:bodyPr>
                    </wps:wsp>
                  </a:graphicData>
                </a:graphic>
              </wp:anchor>
            </w:drawing>
          </mc:Choice>
          <mc:Fallback>
            <w:pict>
              <v:shape id="_x0000_s1031" type="#_x0000_t202" style="position:absolute;margin-left:50.5pt;margin-top:1.pt;width:146.40000000000001pt;height:36.pt;z-index:-125829375;mso-wrap-distance-left:9.pt;mso-wrap-distance-right:9.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v:textbox>
                <w10:wrap type="square" anchorx="page"/>
              </v:shape>
            </w:pict>
          </mc:Fallback>
        </mc:AlternateContent>
      </w:r>
      <w:r>
        <w:rPr>
          <w:color w:val="000000"/>
          <w:spacing w:val="0"/>
          <w:w w:val="100"/>
          <w:position w:val="0"/>
          <w:shd w:val="clear" w:color="auto" w:fill="auto"/>
          <w:lang w:val="ru-RU" w:eastAsia="ru-RU" w:bidi="ru-RU"/>
        </w:rPr>
        <w:t>С.И. Казарин</w:t>
      </w:r>
    </w:p>
    <w:p>
      <w:pPr>
        <w:pStyle w:val="Style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А.А. Кутейников</w:t>
      </w:r>
    </w:p>
    <w:p>
      <w:pPr>
        <w:pStyle w:val="Style6"/>
        <w:keepNext w:val="0"/>
        <w:keepLines w:val="0"/>
        <w:widowControl w:val="0"/>
        <w:shd w:val="clear" w:color="auto" w:fill="auto"/>
        <w:bidi w:val="0"/>
        <w:spacing w:before="0" w:after="6740" w:line="240" w:lineRule="auto"/>
        <w:ind w:left="0" w:right="0" w:firstLine="0"/>
        <w:jc w:val="right"/>
      </w:pPr>
      <w:r>
        <w:rPr>
          <w:color w:val="000000"/>
          <w:spacing w:val="0"/>
          <w:w w:val="100"/>
          <w:position w:val="0"/>
          <w:shd w:val="clear" w:color="auto" w:fill="auto"/>
          <w:lang w:val="ru-RU" w:eastAsia="ru-RU" w:bidi="ru-RU"/>
        </w:rPr>
        <w:t>Э.З. Гугава</w:t>
      </w:r>
    </w:p>
    <w:p>
      <w:pPr>
        <w:pStyle w:val="Style2"/>
        <w:keepNext w:val="0"/>
        <w:keepLines w:val="0"/>
        <w:widowControl w:val="0"/>
        <w:shd w:val="clear" w:color="auto" w:fill="auto"/>
        <w:bidi w:val="0"/>
        <w:spacing w:before="0" w:after="28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Исп. Гугава Эдуард Звиадович 8 (495)784-75-05</w:t>
      </w:r>
    </w:p>
    <w:sectPr>
      <w:footnotePr>
        <w:pos w:val="pageBottom"/>
        <w:numFmt w:val="decimal"/>
        <w:numRestart w:val="continuous"/>
      </w:footnotePr>
      <w:pgSz w:w="11900" w:h="16840"/>
      <w:pgMar w:top="1191" w:right="603" w:bottom="1191" w:left="1106" w:header="0" w:footer="3"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3804285</wp:posOffset>
              </wp:positionH>
              <wp:positionV relativeFrom="page">
                <wp:posOffset>461010</wp:posOffset>
              </wp:positionV>
              <wp:extent cx="67310" cy="103505"/>
              <wp:wrapNone/>
              <wp:docPr id="3" name="Shape 3"/>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299.55000000000001pt;margin-top:36.300000000000004pt;width:5.2999999999999998pt;height:8.1500000000000004pt;z-index:-188744062;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color w:val="425FA6"/>
      <w:sz w:val="19"/>
      <w:szCs w:val="19"/>
      <w:u w:val="none"/>
    </w:rPr>
  </w:style>
  <w:style w:type="character" w:customStyle="1" w:styleId="CharStyle7">
    <w:name w:val="Основной текст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10">
    <w:name w:val="Колонтитул (2)_"/>
    <w:basedOn w:val="DefaultParagraphFont"/>
    <w:link w:val="Style9"/>
    <w:rPr>
      <w:rFonts w:ascii="Times New Roman" w:eastAsia="Times New Roman" w:hAnsi="Times New Roman" w:cs="Times New Roman"/>
      <w:b w:val="0"/>
      <w:bCs w:val="0"/>
      <w:i w:val="0"/>
      <w:iCs w:val="0"/>
      <w:smallCaps w:val="0"/>
      <w:strike w:val="0"/>
      <w:sz w:val="20"/>
      <w:szCs w:val="20"/>
      <w:u w:val="none"/>
    </w:rPr>
  </w:style>
  <w:style w:type="paragraph" w:customStyle="1" w:styleId="Style2">
    <w:name w:val="Основной текст (2)"/>
    <w:basedOn w:val="Normal"/>
    <w:link w:val="CharStyle3"/>
    <w:pPr>
      <w:widowControl w:val="0"/>
      <w:shd w:val="clear" w:color="auto" w:fill="auto"/>
      <w:spacing w:after="260"/>
      <w:jc w:val="center"/>
    </w:pPr>
    <w:rPr>
      <w:rFonts w:ascii="Times New Roman" w:eastAsia="Times New Roman" w:hAnsi="Times New Roman" w:cs="Times New Roman"/>
      <w:b w:val="0"/>
      <w:bCs w:val="0"/>
      <w:i w:val="0"/>
      <w:iCs w:val="0"/>
      <w:smallCaps w:val="0"/>
      <w:strike w:val="0"/>
      <w:color w:val="425FA6"/>
      <w:sz w:val="19"/>
      <w:szCs w:val="19"/>
      <w:u w:val="none"/>
    </w:rPr>
  </w:style>
  <w:style w:type="paragraph" w:customStyle="1" w:styleId="Style6">
    <w:name w:val="Основной текст"/>
    <w:basedOn w:val="Normal"/>
    <w:link w:val="CharStyle7"/>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9">
    <w:name w:val="Колонтитул (2)"/>
    <w:basedOn w:val="Normal"/>
    <w:link w:val="CharStyle10"/>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header" Target="header2.xml"/></Relationships>
</file>