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1"/>
        <w:keepNext/>
        <w:keepLines/>
        <w:widowControl w:val="0"/>
        <w:shd w:val="clear" w:color="auto" w:fill="auto"/>
        <w:bidi w:val="0"/>
        <w:spacing w:before="0" w:after="0" w:line="240" w:lineRule="auto"/>
        <w:ind w:left="480" w:right="0" w:firstLine="40"/>
        <w:jc w:val="left"/>
      </w:pPr>
      <w:r>
        <mc:AlternateContent>
          <mc:Choice Requires="wps">
            <w:drawing>
              <wp:anchor distT="0" distB="0" distL="114300" distR="114300" simplePos="0" relativeHeight="125829378" behindDoc="0" locked="0" layoutInCell="1" allowOverlap="1">
                <wp:simplePos x="0" y="0"/>
                <wp:positionH relativeFrom="page">
                  <wp:posOffset>491490</wp:posOffset>
                </wp:positionH>
                <wp:positionV relativeFrom="paragraph">
                  <wp:posOffset>25400</wp:posOffset>
                </wp:positionV>
                <wp:extent cx="1801495" cy="1499870"/>
                <wp:wrapSquare wrapText="right"/>
                <wp:docPr id="1" name="Shape 1"/>
                <a:graphic xmlns:a="http://schemas.openxmlformats.org/drawingml/2006/main">
                  <a:graphicData uri="http://schemas.microsoft.com/office/word/2010/wordprocessingShape">
                    <wps:wsp>
                      <wps:cNvSpPr txBox="1"/>
                      <wps:spPr>
                        <a:xfrm>
                          <a:ext cx="1801495" cy="1499870"/>
                        </a:xfrm>
                        <a:prstGeom prst="rect"/>
                        <a:noFill/>
                      </wps:spPr>
                      <wps:txbx>
                        <w:txbxContent>
                          <w:p>
                            <w:pPr>
                              <w:pStyle w:val="Style2"/>
                              <w:keepNext w:val="0"/>
                              <w:keepLines w:val="0"/>
                              <w:widowControl w:val="0"/>
                              <w:shd w:val="clear" w:color="auto" w:fill="auto"/>
                              <w:bidi w:val="0"/>
                              <w:spacing w:before="0" w:after="120" w:line="286" w:lineRule="auto"/>
                              <w:ind w:left="0" w:right="0" w:firstLine="0"/>
                              <w:jc w:val="center"/>
                            </w:pPr>
                            <w:r>
                              <w:rPr>
                                <w:i/>
                                <w:iCs/>
                                <w:color w:val="000000"/>
                                <w:spacing w:val="0"/>
                                <w:w w:val="100"/>
                                <w:position w:val="0"/>
                                <w:sz w:val="11"/>
                                <w:szCs w:val="11"/>
                                <w:shd w:val="clear" w:color="auto" w:fill="auto"/>
                                <w:lang w:val="ru-RU" w:eastAsia="ru-RU" w:bidi="ru-RU"/>
                              </w:rPr>
                              <w:t>Ф1</w:t>
                            </w:r>
                            <w:r>
                              <w:rPr>
                                <w:color w:val="000000"/>
                                <w:spacing w:val="0"/>
                                <w:w w:val="100"/>
                                <w:position w:val="0"/>
                                <w:sz w:val="11"/>
                                <w:szCs w:val="11"/>
                                <w:shd w:val="clear" w:color="auto" w:fill="auto"/>
                                <w:lang w:val="ru-RU" w:eastAsia="ru-RU" w:bidi="ru-RU"/>
                              </w:rPr>
                              <w:t xml:space="preserve"> 1(1 \ II ИЛЯ</w:t>
                              <w:br/>
                            </w:r>
                            <w:r>
                              <w:rPr>
                                <w:color w:val="000000"/>
                                <w:spacing w:val="0"/>
                                <w:w w:val="100"/>
                                <w:position w:val="0"/>
                                <w:shd w:val="clear" w:color="auto" w:fill="auto"/>
                                <w:lang w:val="ru-RU" w:eastAsia="ru-RU" w:bidi="ru-RU"/>
                              </w:rPr>
                              <w:t>АНТИМОНОИО 1ЬИ Ы СЛУЖБА</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УПРЛВ.ЯЕМИЕ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ФедфальнйЙ аопшошиюльния</w:t>
                              <w:br/>
                              <w:t>службы ио Хан:гьгМ»исий&lt;кому</w:t>
                              <w:br/>
                              <w:t>автоиомнаму шгругу - Югро</w:t>
                              <w:br/>
                              <w:t>уп. Мира, д. 27. Хаиты-Мансийск, 628012</w:t>
                              <w:br/>
                              <w:t>теттефои/фйяс •*•'/ (Л467) 38-80-31</w:t>
                            </w:r>
                          </w:p>
                          <w:p>
                            <w:pPr>
                              <w:pStyle w:val="Style6"/>
                              <w:keepNext w:val="0"/>
                              <w:keepLines w:val="0"/>
                              <w:widowControl w:val="0"/>
                              <w:shd w:val="clear" w:color="auto" w:fill="auto"/>
                              <w:bidi w:val="0"/>
                              <w:spacing w:before="0" w:after="0"/>
                              <w:ind w:left="0" w:right="0" w:firstLine="200"/>
                              <w:jc w:val="left"/>
                              <w:rPr>
                                <w:sz w:val="11"/>
                                <w:szCs w:val="11"/>
                              </w:rPr>
                            </w:pPr>
                            <w:r>
                              <w:rPr>
                                <w:b w:val="0"/>
                                <w:bCs w:val="0"/>
                                <w:i w:val="0"/>
                                <w:iCs w:val="0"/>
                                <w:color w:val="000000"/>
                                <w:spacing w:val="0"/>
                                <w:w w:val="100"/>
                                <w:position w:val="0"/>
                                <w:sz w:val="11"/>
                                <w:szCs w:val="11"/>
                                <w:shd w:val="clear" w:color="auto" w:fill="auto"/>
                                <w:lang w:val="ru-RU" w:eastAsia="ru-RU" w:bidi="ru-RU"/>
                              </w:rPr>
                              <w:t>СЧнаЦ: !086;ф5Ь^|&gt;.0\-.ги, с^Й( 1«!р://апШ&gt;.Слй</w:t>
                            </w:r>
                          </w:p>
                          <w:p>
                            <w:pPr>
                              <w:pStyle w:val="Style6"/>
                              <w:keepNext w:val="0"/>
                              <w:keepLines w:val="0"/>
                              <w:widowControl w:val="0"/>
                              <w:shd w:val="clear" w:color="auto" w:fill="auto"/>
                              <w:bidi w:val="0"/>
                              <w:spacing w:before="0" w:after="40"/>
                              <w:ind w:left="0" w:right="0" w:firstLine="0"/>
                              <w:jc w:val="left"/>
                              <w:rPr>
                                <w:sz w:val="11"/>
                                <w:szCs w:val="11"/>
                              </w:rPr>
                            </w:pPr>
                            <w:r>
                              <w:rPr>
                                <w:b w:val="0"/>
                                <w:bCs w:val="0"/>
                                <w:i w:val="0"/>
                                <w:iCs w:val="0"/>
                                <w:color w:val="000000"/>
                                <w:spacing w:val="0"/>
                                <w:w w:val="100"/>
                                <w:position w:val="0"/>
                                <w:sz w:val="11"/>
                                <w:szCs w:val="11"/>
                                <w:shd w:val="clear" w:color="auto" w:fill="auto"/>
                                <w:lang w:val="ru-RU" w:eastAsia="ru-RU" w:bidi="ru-RU"/>
                              </w:rPr>
                              <w:t xml:space="preserve">ИНН К6(Н 009516 КПП МОШКИ){ ОП’11 10?.*М|&gt;&gt;«5 </w:t>
                            </w:r>
                            <w:r>
                              <w:rPr>
                                <w:b w:val="0"/>
                                <w:bCs w:val="0"/>
                                <w:color w:val="000000"/>
                                <w:spacing w:val="0"/>
                                <w:w w:val="100"/>
                                <w:position w:val="0"/>
                                <w:sz w:val="11"/>
                                <w:szCs w:val="11"/>
                                <w:shd w:val="clear" w:color="auto" w:fill="auto"/>
                                <w:lang w:val="ru-RU" w:eastAsia="ru-RU" w:bidi="ru-RU"/>
                              </w:rPr>
                              <w:t>ММ</w:t>
                            </w:r>
                          </w:p>
                          <w:p>
                            <w:pPr>
                              <w:pStyle w:val="Style6"/>
                              <w:keepNext w:val="0"/>
                              <w:keepLines w:val="0"/>
                              <w:widowControl w:val="0"/>
                              <w:shd w:val="clear" w:color="auto" w:fill="auto"/>
                              <w:bidi w:val="0"/>
                              <w:spacing w:before="0" w:after="120"/>
                              <w:ind w:left="0" w:right="0" w:firstLine="0"/>
                              <w:jc w:val="left"/>
                              <w:rPr>
                                <w:sz w:val="11"/>
                                <w:szCs w:val="11"/>
                              </w:rPr>
                            </w:pPr>
                            <w:r>
                              <w:rPr>
                                <w:b w:val="0"/>
                                <w:bCs w:val="0"/>
                                <w:color w:val="000000"/>
                                <w:spacing w:val="0"/>
                                <w:w w:val="100"/>
                                <w:position w:val="0"/>
                                <w:sz w:val="11"/>
                                <w:szCs w:val="11"/>
                                <w:shd w:val="clear" w:color="auto" w:fill="auto"/>
                                <w:lang w:val="ru-RU" w:eastAsia="ru-RU" w:bidi="ru-RU"/>
                              </w:rPr>
                              <w:t>&lt;</w:t>
                            </w:r>
                            <w:r>
                              <w:rPr>
                                <w:b w:val="0"/>
                                <w:bCs w:val="0"/>
                                <w:color w:val="000000"/>
                                <w:spacing w:val="0"/>
                                <w:w w:val="100"/>
                                <w:position w:val="0"/>
                                <w:sz w:val="11"/>
                                <w:szCs w:val="11"/>
                                <w:u w:val="single"/>
                                <w:shd w:val="clear" w:color="auto" w:fill="auto"/>
                                <w:lang w:val="ru-RU" w:eastAsia="ru-RU" w:bidi="ru-RU"/>
                              </w:rPr>
                              <w:t>ж</w:t>
                            </w:r>
                            <w:r>
                              <w:rPr>
                                <w:b w:val="0"/>
                                <w:bCs w:val="0"/>
                                <w:color w:val="000000"/>
                                <w:spacing w:val="0"/>
                                <w:w w:val="100"/>
                                <w:position w:val="0"/>
                                <w:sz w:val="11"/>
                                <w:szCs w:val="11"/>
                                <w:shd w:val="clear" w:color="auto" w:fill="auto"/>
                                <w:lang w:val="ru-RU" w:eastAsia="ru-RU" w:bidi="ru-RU"/>
                              </w:rPr>
                              <w:t>.</w:t>
                            </w:r>
                          </w:p>
                          <w:p>
                            <w:pPr>
                              <w:pStyle w:val="Style6"/>
                              <w:keepNext w:val="0"/>
                              <w:keepLines w:val="0"/>
                              <w:widowControl w:val="0"/>
                              <w:shd w:val="clear" w:color="auto" w:fill="auto"/>
                              <w:tabs>
                                <w:tab w:leader="dot" w:pos="1248" w:val="left"/>
                                <w:tab w:leader="dot" w:pos="2717" w:val="left"/>
                              </w:tabs>
                              <w:bidi w:val="0"/>
                              <w:spacing w:before="0" w:after="120"/>
                              <w:ind w:left="0" w:right="0" w:firstLine="0"/>
                              <w:jc w:val="both"/>
                              <w:rPr>
                                <w:sz w:val="11"/>
                                <w:szCs w:val="11"/>
                              </w:rPr>
                            </w:pPr>
                            <w:r>
                              <w:rPr>
                                <w:b w:val="0"/>
                                <w:bCs w:val="0"/>
                                <w:i w:val="0"/>
                                <w:iCs w:val="0"/>
                                <w:color w:val="000000"/>
                                <w:spacing w:val="0"/>
                                <w:w w:val="100"/>
                                <w:position w:val="0"/>
                                <w:sz w:val="11"/>
                                <w:szCs w:val="11"/>
                                <w:shd w:val="clear" w:color="auto" w:fill="auto"/>
                                <w:lang w:val="ru-RU" w:eastAsia="ru-RU" w:bidi="ru-RU"/>
                              </w:rPr>
                              <w:t xml:space="preserve">На </w:t>
                            </w:r>
                            <w:r>
                              <w:rPr>
                                <w:b w:val="0"/>
                                <w:bCs w:val="0"/>
                                <w:color w:val="000000"/>
                                <w:spacing w:val="0"/>
                                <w:w w:val="100"/>
                                <w:position w:val="0"/>
                                <w:sz w:val="11"/>
                                <w:szCs w:val="11"/>
                                <w:shd w:val="clear" w:color="auto" w:fill="auto"/>
                                <w:lang w:val="ru-RU" w:eastAsia="ru-RU" w:bidi="ru-RU"/>
                              </w:rPr>
                              <w:t xml:space="preserve">Хв </w:t>
                              <w:tab/>
                              <w:t xml:space="preserve"> от-</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8.700000000000003pt;margin-top:2.pt;width:141.84999999999999pt;height:118.1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6" w:lineRule="auto"/>
                        <w:ind w:left="0" w:right="0" w:firstLine="0"/>
                        <w:jc w:val="center"/>
                      </w:pPr>
                      <w:r>
                        <w:rPr>
                          <w:i/>
                          <w:iCs/>
                          <w:color w:val="000000"/>
                          <w:spacing w:val="0"/>
                          <w:w w:val="100"/>
                          <w:position w:val="0"/>
                          <w:sz w:val="11"/>
                          <w:szCs w:val="11"/>
                          <w:shd w:val="clear" w:color="auto" w:fill="auto"/>
                          <w:lang w:val="ru-RU" w:eastAsia="ru-RU" w:bidi="ru-RU"/>
                        </w:rPr>
                        <w:t>Ф1</w:t>
                      </w:r>
                      <w:r>
                        <w:rPr>
                          <w:color w:val="000000"/>
                          <w:spacing w:val="0"/>
                          <w:w w:val="100"/>
                          <w:position w:val="0"/>
                          <w:sz w:val="11"/>
                          <w:szCs w:val="11"/>
                          <w:shd w:val="clear" w:color="auto" w:fill="auto"/>
                          <w:lang w:val="ru-RU" w:eastAsia="ru-RU" w:bidi="ru-RU"/>
                        </w:rPr>
                        <w:t xml:space="preserve"> 1(1 \ II ИЛЯ</w:t>
                        <w:br/>
                      </w:r>
                      <w:r>
                        <w:rPr>
                          <w:color w:val="000000"/>
                          <w:spacing w:val="0"/>
                          <w:w w:val="100"/>
                          <w:position w:val="0"/>
                          <w:shd w:val="clear" w:color="auto" w:fill="auto"/>
                          <w:lang w:val="ru-RU" w:eastAsia="ru-RU" w:bidi="ru-RU"/>
                        </w:rPr>
                        <w:t>АНТИМОНОИО 1ЬИ Ы СЛУЖБА</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УПРЛВ.ЯЕМИЕ</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ФедфальнйЙ аопшошиюльния</w:t>
                        <w:br/>
                        <w:t>службы ио Хан:гьгМ»исий&lt;кому</w:t>
                        <w:br/>
                        <w:t>автоиомнаму шгругу - Югро</w:t>
                        <w:br/>
                        <w:t>уп. Мира, д. 27. Хаиты-Мансийск, 628012</w:t>
                        <w:br/>
                        <w:t>теттефои/фйяс •*•'/ (Л467) 38-80-31</w:t>
                      </w:r>
                    </w:p>
                    <w:p>
                      <w:pPr>
                        <w:pStyle w:val="Style6"/>
                        <w:keepNext w:val="0"/>
                        <w:keepLines w:val="0"/>
                        <w:widowControl w:val="0"/>
                        <w:shd w:val="clear" w:color="auto" w:fill="auto"/>
                        <w:bidi w:val="0"/>
                        <w:spacing w:before="0" w:after="0"/>
                        <w:ind w:left="0" w:right="0" w:firstLine="200"/>
                        <w:jc w:val="left"/>
                        <w:rPr>
                          <w:sz w:val="11"/>
                          <w:szCs w:val="11"/>
                        </w:rPr>
                      </w:pPr>
                      <w:r>
                        <w:rPr>
                          <w:b w:val="0"/>
                          <w:bCs w:val="0"/>
                          <w:i w:val="0"/>
                          <w:iCs w:val="0"/>
                          <w:color w:val="000000"/>
                          <w:spacing w:val="0"/>
                          <w:w w:val="100"/>
                          <w:position w:val="0"/>
                          <w:sz w:val="11"/>
                          <w:szCs w:val="11"/>
                          <w:shd w:val="clear" w:color="auto" w:fill="auto"/>
                          <w:lang w:val="ru-RU" w:eastAsia="ru-RU" w:bidi="ru-RU"/>
                        </w:rPr>
                        <w:t>СЧнаЦ: !086;ф5Ь^|&gt;.0\-.ги, с^Й( 1«!р://апШ&gt;.Слй</w:t>
                      </w:r>
                    </w:p>
                    <w:p>
                      <w:pPr>
                        <w:pStyle w:val="Style6"/>
                        <w:keepNext w:val="0"/>
                        <w:keepLines w:val="0"/>
                        <w:widowControl w:val="0"/>
                        <w:shd w:val="clear" w:color="auto" w:fill="auto"/>
                        <w:bidi w:val="0"/>
                        <w:spacing w:before="0" w:after="40"/>
                        <w:ind w:left="0" w:right="0" w:firstLine="0"/>
                        <w:jc w:val="left"/>
                        <w:rPr>
                          <w:sz w:val="11"/>
                          <w:szCs w:val="11"/>
                        </w:rPr>
                      </w:pPr>
                      <w:r>
                        <w:rPr>
                          <w:b w:val="0"/>
                          <w:bCs w:val="0"/>
                          <w:i w:val="0"/>
                          <w:iCs w:val="0"/>
                          <w:color w:val="000000"/>
                          <w:spacing w:val="0"/>
                          <w:w w:val="100"/>
                          <w:position w:val="0"/>
                          <w:sz w:val="11"/>
                          <w:szCs w:val="11"/>
                          <w:shd w:val="clear" w:color="auto" w:fill="auto"/>
                          <w:lang w:val="ru-RU" w:eastAsia="ru-RU" w:bidi="ru-RU"/>
                        </w:rPr>
                        <w:t xml:space="preserve">ИНН К6(Н 009516 КПП МОШКИ){ ОП’11 10?.*М|&gt;&gt;«5 </w:t>
                      </w:r>
                      <w:r>
                        <w:rPr>
                          <w:b w:val="0"/>
                          <w:bCs w:val="0"/>
                          <w:color w:val="000000"/>
                          <w:spacing w:val="0"/>
                          <w:w w:val="100"/>
                          <w:position w:val="0"/>
                          <w:sz w:val="11"/>
                          <w:szCs w:val="11"/>
                          <w:shd w:val="clear" w:color="auto" w:fill="auto"/>
                          <w:lang w:val="ru-RU" w:eastAsia="ru-RU" w:bidi="ru-RU"/>
                        </w:rPr>
                        <w:t>ММ</w:t>
                      </w:r>
                    </w:p>
                    <w:p>
                      <w:pPr>
                        <w:pStyle w:val="Style6"/>
                        <w:keepNext w:val="0"/>
                        <w:keepLines w:val="0"/>
                        <w:widowControl w:val="0"/>
                        <w:shd w:val="clear" w:color="auto" w:fill="auto"/>
                        <w:bidi w:val="0"/>
                        <w:spacing w:before="0" w:after="120"/>
                        <w:ind w:left="0" w:right="0" w:firstLine="0"/>
                        <w:jc w:val="left"/>
                        <w:rPr>
                          <w:sz w:val="11"/>
                          <w:szCs w:val="11"/>
                        </w:rPr>
                      </w:pPr>
                      <w:r>
                        <w:rPr>
                          <w:b w:val="0"/>
                          <w:bCs w:val="0"/>
                          <w:color w:val="000000"/>
                          <w:spacing w:val="0"/>
                          <w:w w:val="100"/>
                          <w:position w:val="0"/>
                          <w:sz w:val="11"/>
                          <w:szCs w:val="11"/>
                          <w:shd w:val="clear" w:color="auto" w:fill="auto"/>
                          <w:lang w:val="ru-RU" w:eastAsia="ru-RU" w:bidi="ru-RU"/>
                        </w:rPr>
                        <w:t>&lt;</w:t>
                      </w:r>
                      <w:r>
                        <w:rPr>
                          <w:b w:val="0"/>
                          <w:bCs w:val="0"/>
                          <w:color w:val="000000"/>
                          <w:spacing w:val="0"/>
                          <w:w w:val="100"/>
                          <w:position w:val="0"/>
                          <w:sz w:val="11"/>
                          <w:szCs w:val="11"/>
                          <w:u w:val="single"/>
                          <w:shd w:val="clear" w:color="auto" w:fill="auto"/>
                          <w:lang w:val="ru-RU" w:eastAsia="ru-RU" w:bidi="ru-RU"/>
                        </w:rPr>
                        <w:t>ж</w:t>
                      </w:r>
                      <w:r>
                        <w:rPr>
                          <w:b w:val="0"/>
                          <w:bCs w:val="0"/>
                          <w:color w:val="000000"/>
                          <w:spacing w:val="0"/>
                          <w:w w:val="100"/>
                          <w:position w:val="0"/>
                          <w:sz w:val="11"/>
                          <w:szCs w:val="11"/>
                          <w:shd w:val="clear" w:color="auto" w:fill="auto"/>
                          <w:lang w:val="ru-RU" w:eastAsia="ru-RU" w:bidi="ru-RU"/>
                        </w:rPr>
                        <w:t>.</w:t>
                      </w:r>
                    </w:p>
                    <w:p>
                      <w:pPr>
                        <w:pStyle w:val="Style6"/>
                        <w:keepNext w:val="0"/>
                        <w:keepLines w:val="0"/>
                        <w:widowControl w:val="0"/>
                        <w:shd w:val="clear" w:color="auto" w:fill="auto"/>
                        <w:tabs>
                          <w:tab w:leader="dot" w:pos="1248" w:val="left"/>
                          <w:tab w:leader="dot" w:pos="2717" w:val="left"/>
                        </w:tabs>
                        <w:bidi w:val="0"/>
                        <w:spacing w:before="0" w:after="120"/>
                        <w:ind w:left="0" w:right="0" w:firstLine="0"/>
                        <w:jc w:val="both"/>
                        <w:rPr>
                          <w:sz w:val="11"/>
                          <w:szCs w:val="11"/>
                        </w:rPr>
                      </w:pPr>
                      <w:r>
                        <w:rPr>
                          <w:b w:val="0"/>
                          <w:bCs w:val="0"/>
                          <w:i w:val="0"/>
                          <w:iCs w:val="0"/>
                          <w:color w:val="000000"/>
                          <w:spacing w:val="0"/>
                          <w:w w:val="100"/>
                          <w:position w:val="0"/>
                          <w:sz w:val="11"/>
                          <w:szCs w:val="11"/>
                          <w:shd w:val="clear" w:color="auto" w:fill="auto"/>
                          <w:lang w:val="ru-RU" w:eastAsia="ru-RU" w:bidi="ru-RU"/>
                        </w:rPr>
                        <w:t xml:space="preserve">На </w:t>
                      </w:r>
                      <w:r>
                        <w:rPr>
                          <w:b w:val="0"/>
                          <w:bCs w:val="0"/>
                          <w:color w:val="000000"/>
                          <w:spacing w:val="0"/>
                          <w:w w:val="100"/>
                          <w:position w:val="0"/>
                          <w:sz w:val="11"/>
                          <w:szCs w:val="11"/>
                          <w:shd w:val="clear" w:color="auto" w:fill="auto"/>
                          <w:lang w:val="ru-RU" w:eastAsia="ru-RU" w:bidi="ru-RU"/>
                        </w:rPr>
                        <w:t xml:space="preserve">Хв </w:t>
                        <w:tab/>
                        <w:t xml:space="preserve"> от-</w:t>
                        <w:tab/>
                      </w:r>
                    </w:p>
                  </w:txbxContent>
                </v:textbox>
                <w10:wrap type="square" side="right" anchorx="page"/>
              </v:shape>
            </w:pict>
          </mc:Fallback>
        </mc:AlternateContent>
      </w:r>
      <w:bookmarkStart w:id="0" w:name="bookmark0"/>
      <w:r>
        <w:rPr>
          <w:color w:val="000000"/>
          <w:spacing w:val="0"/>
          <w:w w:val="100"/>
          <w:position w:val="0"/>
          <w:shd w:val="clear" w:color="auto" w:fill="auto"/>
          <w:lang w:val="ru-RU" w:eastAsia="ru-RU" w:bidi="ru-RU"/>
        </w:rPr>
        <w:t>Оператор электронной площадки:</w:t>
      </w:r>
      <w:bookmarkEnd w:id="0"/>
    </w:p>
    <w:p>
      <w:pPr>
        <w:pStyle w:val="Style13"/>
        <w:keepNext w:val="0"/>
        <w:keepLines w:val="0"/>
        <w:widowControl w:val="0"/>
        <w:shd w:val="clear" w:color="auto" w:fill="auto"/>
        <w:bidi w:val="0"/>
        <w:spacing w:before="0" w:after="0" w:line="240" w:lineRule="auto"/>
        <w:ind w:left="480" w:right="0" w:firstLine="40"/>
        <w:jc w:val="left"/>
      </w:pPr>
      <w:r>
        <w:rPr>
          <w:color w:val="000000"/>
          <w:spacing w:val="0"/>
          <w:w w:val="100"/>
          <w:position w:val="0"/>
          <w:shd w:val="clear" w:color="auto" w:fill="auto"/>
          <w:lang w:val="ru-RU" w:eastAsia="ru-RU" w:bidi="ru-RU"/>
        </w:rPr>
        <w:t>«НЭП - Фабрикант»</w:t>
      </w:r>
    </w:p>
    <w:p>
      <w:pPr>
        <w:pStyle w:val="Style13"/>
        <w:keepNext w:val="0"/>
        <w:keepLines w:val="0"/>
        <w:widowControl w:val="0"/>
        <w:shd w:val="clear" w:color="auto" w:fill="auto"/>
        <w:bidi w:val="0"/>
        <w:spacing w:before="0" w:after="0" w:line="240" w:lineRule="auto"/>
        <w:ind w:left="480" w:right="0" w:firstLine="40"/>
        <w:jc w:val="left"/>
      </w:pPr>
      <w:r>
        <w:rPr>
          <w:color w:val="000000"/>
          <w:spacing w:val="0"/>
          <w:w w:val="100"/>
          <w:position w:val="0"/>
          <w:shd w:val="clear" w:color="auto" w:fill="auto"/>
          <w:lang w:val="ru-RU" w:eastAsia="ru-RU" w:bidi="ru-RU"/>
        </w:rPr>
        <w:t>АО «ЭТС» 123112, Москва, Тестовская улица, 10, «Москва Сити», Северная башня, 1 подъезд, 25 этаж</w:t>
      </w:r>
    </w:p>
    <w:p>
      <w:pPr>
        <w:pStyle w:val="Style13"/>
        <w:keepNext w:val="0"/>
        <w:keepLines w:val="0"/>
        <w:widowControl w:val="0"/>
        <w:shd w:val="clear" w:color="auto" w:fill="auto"/>
        <w:bidi w:val="0"/>
        <w:spacing w:before="0" w:after="180" w:line="240" w:lineRule="auto"/>
        <w:ind w:left="480" w:right="0" w:firstLine="40"/>
        <w:jc w:val="left"/>
      </w:pPr>
      <w:r>
        <w:rPr>
          <w:color w:val="000000"/>
          <w:spacing w:val="0"/>
          <w:w w:val="100"/>
          <w:position w:val="0"/>
          <w:shd w:val="clear" w:color="auto" w:fill="auto"/>
          <w:lang w:val="ru-RU" w:eastAsia="ru-RU" w:bidi="ru-RU"/>
        </w:rPr>
        <w:t>119435, г. Москва, Большой Саввинский переулок, д.12, стр.9</w:t>
      </w:r>
    </w:p>
    <w:p>
      <w:pPr>
        <w:pStyle w:val="Style11"/>
        <w:keepNext/>
        <w:keepLines/>
        <w:widowControl w:val="0"/>
        <w:shd w:val="clear" w:color="auto" w:fill="auto"/>
        <w:bidi w:val="0"/>
        <w:spacing w:before="0" w:after="0" w:line="240" w:lineRule="auto"/>
        <w:ind w:left="0" w:right="0" w:firstLine="480"/>
        <w:jc w:val="left"/>
      </w:pPr>
      <w:bookmarkStart w:id="2" w:name="bookmark2"/>
      <w:r>
        <w:rPr>
          <w:color w:val="000000"/>
          <w:spacing w:val="0"/>
          <w:w w:val="100"/>
          <w:position w:val="0"/>
          <w:shd w:val="clear" w:color="auto" w:fill="auto"/>
          <w:lang w:val="ru-RU" w:eastAsia="ru-RU" w:bidi="ru-RU"/>
        </w:rPr>
        <w:t>Заявитель:</w:t>
      </w:r>
      <w:bookmarkEnd w:id="2"/>
    </w:p>
    <w:p>
      <w:pPr>
        <w:pStyle w:val="Style13"/>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АО «ББ Труп»</w:t>
      </w:r>
    </w:p>
    <w:p>
      <w:pPr>
        <w:pStyle w:val="Style13"/>
        <w:keepNext w:val="0"/>
        <w:keepLines w:val="0"/>
        <w:widowControl w:val="0"/>
        <w:shd w:val="clear" w:color="auto" w:fill="auto"/>
        <w:bidi w:val="0"/>
        <w:spacing w:before="0" w:after="180" w:line="240" w:lineRule="auto"/>
        <w:ind w:left="480" w:right="0" w:firstLine="40"/>
        <w:jc w:val="left"/>
      </w:pPr>
      <w:r>
        <w:rPr>
          <w:color w:val="000000"/>
          <w:spacing w:val="0"/>
          <w:w w:val="100"/>
          <w:position w:val="0"/>
          <w:shd w:val="clear" w:color="auto" w:fill="auto"/>
          <w:lang w:val="ru-RU" w:eastAsia="ru-RU" w:bidi="ru-RU"/>
        </w:rPr>
        <w:t>424005, г. Йошкар-Ола, ул. Тракт Сернурский, дом 4, пом. 10</w:t>
      </w:r>
    </w:p>
    <w:p>
      <w:pPr>
        <w:pStyle w:val="Style11"/>
        <w:keepNext/>
        <w:keepLines/>
        <w:widowControl w:val="0"/>
        <w:shd w:val="clear" w:color="auto" w:fill="auto"/>
        <w:bidi w:val="0"/>
        <w:spacing w:before="0" w:after="0" w:line="240" w:lineRule="auto"/>
        <w:ind w:left="3600" w:right="0" w:firstLine="0"/>
        <w:jc w:val="left"/>
      </w:pPr>
      <w:bookmarkStart w:id="4" w:name="bookmark4"/>
      <w:r>
        <w:rPr>
          <w:color w:val="000000"/>
          <w:spacing w:val="0"/>
          <w:w w:val="100"/>
          <w:position w:val="0"/>
          <w:shd w:val="clear" w:color="auto" w:fill="auto"/>
          <w:lang w:val="ru-RU" w:eastAsia="ru-RU" w:bidi="ru-RU"/>
        </w:rPr>
        <w:t>Заказчик:</w:t>
      </w:r>
      <w:bookmarkEnd w:id="4"/>
    </w:p>
    <w:p>
      <w:pPr>
        <w:pStyle w:val="Style13"/>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округа-Югры «Окружная клиническая больница»</w:t>
      </w:r>
    </w:p>
    <w:p>
      <w:pPr>
        <w:pStyle w:val="Style13"/>
        <w:keepNext w:val="0"/>
        <w:keepLines w:val="0"/>
        <w:widowControl w:val="0"/>
        <w:shd w:val="clear" w:color="auto" w:fill="auto"/>
        <w:bidi w:val="0"/>
        <w:spacing w:before="0" w:after="0" w:line="240" w:lineRule="auto"/>
        <w:ind w:left="3600" w:right="0" w:firstLine="0"/>
        <w:jc w:val="left"/>
      </w:pPr>
      <w:r>
        <w:rPr>
          <w:color w:val="000000"/>
          <w:spacing w:val="0"/>
          <w:w w:val="100"/>
          <w:position w:val="0"/>
          <w:shd w:val="clear" w:color="auto" w:fill="auto"/>
          <w:lang w:val="ru-RU" w:eastAsia="ru-RU" w:bidi="ru-RU"/>
        </w:rPr>
        <w:t>628011, ХМАО-Югра, г. Ханты-Мансийск, ул.</w:t>
      </w:r>
    </w:p>
    <w:p>
      <w:pPr>
        <w:pStyle w:val="Style13"/>
        <w:keepNext w:val="0"/>
        <w:keepLines w:val="0"/>
        <w:widowControl w:val="0"/>
        <w:shd w:val="clear" w:color="auto" w:fill="auto"/>
        <w:bidi w:val="0"/>
        <w:spacing w:before="0" w:after="180" w:line="240" w:lineRule="auto"/>
        <w:ind w:left="3600" w:right="0" w:firstLine="0"/>
        <w:jc w:val="left"/>
      </w:pPr>
      <w:r>
        <w:rPr>
          <w:color w:val="000000"/>
          <w:spacing w:val="0"/>
          <w:w w:val="100"/>
          <w:position w:val="0"/>
          <w:shd w:val="clear" w:color="auto" w:fill="auto"/>
          <w:lang w:val="ru-RU" w:eastAsia="ru-RU" w:bidi="ru-RU"/>
        </w:rPr>
        <w:t>Калинина, д. 40</w:t>
      </w:r>
    </w:p>
    <w:p>
      <w:pPr>
        <w:pStyle w:val="Style11"/>
        <w:keepNext/>
        <w:keepLines/>
        <w:widowControl w:val="0"/>
        <w:shd w:val="clear" w:color="auto" w:fill="auto"/>
        <w:bidi w:val="0"/>
        <w:spacing w:before="0" w:after="180" w:line="240" w:lineRule="auto"/>
        <w:ind w:left="0" w:right="0" w:firstLine="0"/>
        <w:jc w:val="center"/>
      </w:pPr>
      <w:bookmarkStart w:id="6" w:name="bookmark6"/>
      <w:r>
        <w:rPr>
          <w:color w:val="000000"/>
          <w:spacing w:val="0"/>
          <w:w w:val="100"/>
          <w:position w:val="0"/>
          <w:shd w:val="clear" w:color="auto" w:fill="auto"/>
          <w:lang w:val="ru-RU" w:eastAsia="ru-RU" w:bidi="ru-RU"/>
        </w:rPr>
        <w:t>РЕШЕНИЕ № 086/06/14-694/2023</w:t>
      </w:r>
      <w:bookmarkEnd w:id="6"/>
    </w:p>
    <w:p>
      <w:pPr>
        <w:pStyle w:val="Style13"/>
        <w:keepNext w:val="0"/>
        <w:keepLines w:val="0"/>
        <w:widowControl w:val="0"/>
        <w:shd w:val="clear" w:color="auto" w:fill="auto"/>
        <w:tabs>
          <w:tab w:pos="5314" w:val="left"/>
        </w:tabs>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объявлена 28.04.2023</w:t>
        <w:tab/>
        <w:t>г. Ханты-Мансийск</w:t>
      </w:r>
    </w:p>
    <w:p>
      <w:pPr>
        <w:pStyle w:val="Style13"/>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Изготовлено в полном объеме 04.05.2023</w:t>
      </w:r>
    </w:p>
    <w:p>
      <w:pPr>
        <w:pStyle w:val="Style13"/>
        <w:keepNext w:val="0"/>
        <w:keepLines w:val="0"/>
        <w:widowControl w:val="0"/>
        <w:shd w:val="clear" w:color="auto" w:fill="auto"/>
        <w:bidi w:val="0"/>
        <w:spacing w:before="0" w:after="180" w:line="240" w:lineRule="auto"/>
        <w:ind w:left="0" w:right="0" w:firstLine="5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3"/>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numPr>
          <w:ilvl w:val="0"/>
          <w:numId w:val="1"/>
        </w:numPr>
        <w:shd w:val="clear" w:color="auto" w:fill="auto"/>
        <w:tabs>
          <w:tab w:pos="678"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3"/>
        <w:keepNext w:val="0"/>
        <w:keepLines w:val="0"/>
        <w:widowControl w:val="0"/>
        <w:shd w:val="clear" w:color="auto" w:fill="auto"/>
        <w:bidi w:val="0"/>
        <w:spacing w:before="0" w:after="0" w:line="240" w:lineRule="auto"/>
        <w:ind w:left="0" w:right="0" w:firstLine="480"/>
        <w:jc w:val="left"/>
      </w:pPr>
      <w:r>
        <w:rPr>
          <w:color w:val="000000"/>
          <w:spacing w:val="0"/>
          <w:w w:val="100"/>
          <w:position w:val="0"/>
          <w:shd w:val="clear" w:color="auto" w:fill="auto"/>
          <w:lang w:val="ru-RU" w:eastAsia="ru-RU" w:bidi="ru-RU"/>
        </w:rPr>
        <w:t>Членов комиссии:</w:t>
      </w:r>
    </w:p>
    <w:p>
      <w:pPr>
        <w:pStyle w:val="Style13"/>
        <w:keepNext w:val="0"/>
        <w:keepLines w:val="0"/>
        <w:widowControl w:val="0"/>
        <w:numPr>
          <w:ilvl w:val="0"/>
          <w:numId w:val="1"/>
        </w:numPr>
        <w:shd w:val="clear" w:color="auto" w:fill="auto"/>
        <w:tabs>
          <w:tab w:pos="683" w:val="left"/>
        </w:tabs>
        <w:bidi w:val="0"/>
        <w:spacing w:before="0" w:after="0" w:line="240" w:lineRule="auto"/>
        <w:ind w:left="0" w:right="0" w:firstLine="480"/>
        <w:jc w:val="left"/>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13"/>
        <w:keepNext w:val="0"/>
        <w:keepLines w:val="0"/>
        <w:widowControl w:val="0"/>
        <w:numPr>
          <w:ilvl w:val="0"/>
          <w:numId w:val="1"/>
        </w:numPr>
        <w:shd w:val="clear" w:color="auto" w:fill="auto"/>
        <w:tabs>
          <w:tab w:pos="683" w:val="left"/>
        </w:tabs>
        <w:bidi w:val="0"/>
        <w:spacing w:before="0" w:after="180" w:line="240" w:lineRule="auto"/>
        <w:ind w:left="0" w:right="0" w:firstLine="480"/>
        <w:jc w:val="left"/>
      </w:pPr>
      <w:r>
        <w:rPr>
          <w:color w:val="000000"/>
          <w:spacing w:val="0"/>
          <w:w w:val="100"/>
          <w:position w:val="0"/>
          <w:shd w:val="clear" w:color="auto" w:fill="auto"/>
          <w:lang w:val="ru-RU" w:eastAsia="ru-RU" w:bidi="ru-RU"/>
        </w:rPr>
        <w:t>Сафонов С.И. - Специалист-эксперт отдела Управления,</w:t>
      </w:r>
    </w:p>
    <w:p>
      <w:pPr>
        <w:pStyle w:val="Style13"/>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от Заявителя - посредством видеоконференц-связи Мурашова Л.В. по доверенности №89/2023 от 27.04.2023;</w:t>
      </w:r>
    </w:p>
    <w:p>
      <w:pPr>
        <w:pStyle w:val="Style13"/>
        <w:keepNext w:val="0"/>
        <w:keepLines w:val="0"/>
        <w:widowControl w:val="0"/>
        <w:shd w:val="clear" w:color="auto" w:fill="auto"/>
        <w:bidi w:val="0"/>
        <w:spacing w:before="0" w:after="180" w:line="240" w:lineRule="auto"/>
        <w:ind w:left="0" w:right="0" w:firstLine="520"/>
        <w:jc w:val="both"/>
      </w:pPr>
      <w:r>
        <w:rPr>
          <w:color w:val="000000"/>
          <w:spacing w:val="0"/>
          <w:w w:val="100"/>
          <w:position w:val="0"/>
          <w:shd w:val="clear" w:color="auto" w:fill="auto"/>
          <w:lang w:val="ru-RU" w:eastAsia="ru-RU" w:bidi="ru-RU"/>
        </w:rPr>
        <w:t>от Заказчика - посредством видеоконференц-связи отсутствовали, уведомлены надлежащим образом,</w:t>
      </w:r>
    </w:p>
    <w:p>
      <w:pPr>
        <w:pStyle w:val="Style13"/>
        <w:keepNext w:val="0"/>
        <w:keepLines w:val="0"/>
        <w:widowControl w:val="0"/>
        <w:shd w:val="clear" w:color="auto" w:fill="auto"/>
        <w:bidi w:val="0"/>
        <w:spacing w:before="0" w:after="280" w:line="240" w:lineRule="auto"/>
        <w:ind w:left="0" w:right="0" w:firstLine="520"/>
        <w:jc w:val="both"/>
      </w:pPr>
      <w:r>
        <w:rPr>
          <w:color w:val="000000"/>
          <w:spacing w:val="0"/>
          <w:w w:val="100"/>
          <w:position w:val="0"/>
          <w:shd w:val="clear" w:color="auto" w:fill="auto"/>
          <w:lang w:val="ru-RU" w:eastAsia="ru-RU" w:bidi="ru-RU"/>
        </w:rPr>
        <w:t>рассмотрев жалобу АО «ББ Труп» (ИНН: 1215228078; ОГРН: 1191215001735) от 25.04.2023 №4193/23, на действия Заказчика - Бюджетное учреждение Ханты-Мансийского автономного округа-Югры «Окружная клиническая больница», при проведении электронного аукциона, пред</w:t>
        <w:softHyphen/>
        <w:t>метом которого является Поставка медицинских расходных материалов (извещение № 0387200002823000487) и в результате осуществления внеплановой проверки в соответствии с пунктом 1 части 15 статьи 99 Федерального закона от 05.04.2013 М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5"/>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111111111111111111111111</w:t>
      </w:r>
      <w:bookmarkEnd w:id="8"/>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2023-3304</w:t>
      </w:r>
    </w:p>
    <w:p>
      <w:pPr>
        <w:pStyle w:val="Style11"/>
        <w:keepNext/>
        <w:keepLines/>
        <w:widowControl w:val="0"/>
        <w:shd w:val="clear" w:color="auto" w:fill="auto"/>
        <w:bidi w:val="0"/>
        <w:spacing w:before="0" w:after="180" w:line="240" w:lineRule="auto"/>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АО «ББ Труп» (ИНН: 1215228078; ОГРН: 1191215001735) от 25.04.2023 №4193/23, на действия Заказчика - Бюджетное учреждение Ханты- Мансийского автономного округа-Югры «Окружная клиническая больница», при проведении электронного аукциона, предметом которого является Поставка медицинских расходных материалов (извещение № 0387200002823000487).</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13"/>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1. Лот сформирован с нарушением требований Постановления № 102.</w:t>
      </w:r>
    </w:p>
    <w:p>
      <w:pPr>
        <w:pStyle w:val="Style11"/>
        <w:keepNext/>
        <w:keepLines/>
        <w:widowControl w:val="0"/>
        <w:shd w:val="clear" w:color="auto" w:fill="auto"/>
        <w:bidi w:val="0"/>
        <w:spacing w:before="0" w:after="0" w:line="240" w:lineRule="auto"/>
        <w:ind w:left="0" w:right="0" w:firstLine="500"/>
        <w:jc w:val="both"/>
      </w:pPr>
      <w:bookmarkStart w:id="12" w:name="bookmark12"/>
      <w:r>
        <w:rPr>
          <w:color w:val="000000"/>
          <w:spacing w:val="0"/>
          <w:w w:val="100"/>
          <w:position w:val="0"/>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2"/>
    </w:p>
    <w:p>
      <w:pPr>
        <w:pStyle w:val="Style13"/>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Относительно довода жалоба Комиссия Управления поясняет следующее.</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Согласно пункту 15 части 1 статьи 42 Закона о контрактной системе при осуществлении за</w:t>
        <w:softHyphen/>
        <w:t>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w:t>
        <w:softHyphen/>
        <w:t>го право действовать от имени заказчика, и размещает в единой информационной системе извеще</w:t>
        <w:softHyphen/>
        <w:t>ние об осуществлении закупки, содержащее информацию об условиях, о запретах и об ограниче</w:t>
        <w:softHyphen/>
        <w:t>ниях допуска товаров, происходящих из иностранного государства или группы иностранных госу</w:t>
        <w:softHyphen/>
        <w:t>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части 2 статьи 14 Закона о контрактной системе Федеральный орган исполни</w:t>
        <w:softHyphen/>
        <w:t>тельной власти по регулированию контрактной системы в сфере закупок размещает перечень ино</w:t>
        <w:softHyphen/>
        <w:t>странных государств, с которыми Российской Федерацией заключены международные договоры, указанные в части 1 настоящей статьи, и условия применения национального режима в единой ин</w:t>
        <w:softHyphen/>
        <w:t>формационной системе.</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допуска указанных товаров, работ, услуг, включая минимальную обязательную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пункта 2 части 29 статьи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13"/>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Согласно извещению предмет закупки: Поставка медицинских расходных материалов.</w:t>
      </w:r>
    </w:p>
    <w:p>
      <w:pPr>
        <w:pStyle w:val="Style13"/>
        <w:keepNext w:val="0"/>
        <w:keepLines w:val="0"/>
        <w:widowControl w:val="0"/>
        <w:shd w:val="clear" w:color="auto" w:fill="auto"/>
        <w:bidi w:val="0"/>
        <w:spacing w:before="0" w:after="100" w:line="240" w:lineRule="auto"/>
        <w:ind w:left="0" w:right="0" w:firstLine="480"/>
        <w:jc w:val="both"/>
      </w:pPr>
      <w:r>
        <w:rPr>
          <w:color w:val="000000"/>
          <w:spacing w:val="0"/>
          <w:w w:val="100"/>
          <w:position w:val="0"/>
          <w:shd w:val="clear" w:color="auto" w:fill="auto"/>
          <w:lang w:val="ru-RU" w:eastAsia="ru-RU" w:bidi="ru-RU"/>
        </w:rPr>
        <w:t>Согласно описанию объекта закупки (извещение № 0387200002823000487) Заказчику</w:t>
      </w:r>
      <w:r>
        <w:br w:type="page"/>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требуется следующее.</w:t>
      </w:r>
    </w:p>
    <w:tbl>
      <w:tblPr>
        <w:tblOverlap w:val="never"/>
        <w:jc w:val="center"/>
        <w:tblLayout w:type="fixed"/>
      </w:tblPr>
      <w:tblGrid>
        <w:gridCol w:w="1061"/>
        <w:gridCol w:w="619"/>
        <w:gridCol w:w="984"/>
        <w:gridCol w:w="662"/>
        <w:gridCol w:w="264"/>
        <w:gridCol w:w="374"/>
        <w:gridCol w:w="850"/>
        <w:gridCol w:w="461"/>
        <w:gridCol w:w="504"/>
        <w:gridCol w:w="696"/>
        <w:gridCol w:w="547"/>
      </w:tblGrid>
      <w:tr>
        <w:trPr>
          <w:trHeight w:val="211" w:hRule="exact"/>
        </w:trPr>
        <w:tc>
          <w:tcPr>
            <w:gridSpan w:val="7"/>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Тип объекта закупки</w:t>
            </w:r>
          </w:p>
        </w:tc>
        <w:tc>
          <w:tcPr>
            <w:gridSpan w:val="4"/>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Товар</w:t>
            </w:r>
          </w:p>
        </w:tc>
      </w:tr>
      <w:tr>
        <w:trPr>
          <w:trHeight w:val="202"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tabs>
                <w:tab w:pos="595" w:val="left"/>
              </w:tabs>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Наименование товара,</w:t>
              <w:tab/>
              <w:t>работы,</w:t>
            </w:r>
          </w:p>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услуги</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Код позиции</w:t>
            </w:r>
          </w:p>
        </w:tc>
        <w:tc>
          <w:tcPr>
            <w:gridSpan w:val="5"/>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Характеристики товара, работы, услуги</w:t>
            </w:r>
          </w:p>
        </w:tc>
        <w:tc>
          <w:tcPr>
            <w:vMerge w:val="restart"/>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64" w:lineRule="auto"/>
              <w:ind w:left="0" w:right="0" w:firstLine="0"/>
              <w:jc w:val="left"/>
              <w:rPr>
                <w:sz w:val="10"/>
                <w:szCs w:val="10"/>
              </w:rPr>
            </w:pPr>
            <w:r>
              <w:rPr>
                <w:color w:val="000000"/>
                <w:spacing w:val="0"/>
                <w:w w:val="100"/>
                <w:position w:val="0"/>
                <w:sz w:val="10"/>
                <w:szCs w:val="10"/>
                <w:shd w:val="clear" w:color="auto" w:fill="auto"/>
                <w:lang w:val="ru-RU" w:eastAsia="ru-RU" w:bidi="ru-RU"/>
              </w:rPr>
              <w:t>Количе сгво(об ъем работы, услуги)</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6" w:lineRule="auto"/>
              <w:ind w:left="0" w:right="0" w:firstLine="0"/>
              <w:jc w:val="both"/>
              <w:rPr>
                <w:sz w:val="10"/>
                <w:szCs w:val="10"/>
              </w:rPr>
            </w:pPr>
            <w:r>
              <w:rPr>
                <w:color w:val="000000"/>
                <w:spacing w:val="0"/>
                <w:w w:val="100"/>
                <w:position w:val="0"/>
                <w:sz w:val="10"/>
                <w:szCs w:val="10"/>
                <w:shd w:val="clear" w:color="auto" w:fill="auto"/>
                <w:lang w:val="ru-RU" w:eastAsia="ru-RU" w:bidi="ru-RU"/>
              </w:rPr>
              <w:t>Единица измерен ня</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tabs>
                <w:tab w:pos="523" w:val="left"/>
              </w:tabs>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Цена</w:t>
              <w:tab/>
              <w:t>за</w:t>
            </w:r>
          </w:p>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единицу</w:t>
            </w:r>
          </w:p>
        </w:tc>
        <w:tc>
          <w:tcPr>
            <w:vMerge w:val="restart"/>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Сгоимос ть позиции</w:t>
            </w:r>
          </w:p>
        </w:tc>
      </w:tr>
      <w:tr>
        <w:trPr>
          <w:trHeight w:val="504"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Наименование характеристики</w:t>
            </w:r>
          </w:p>
        </w:tc>
        <w:tc>
          <w:tcPr>
            <w:gridSpan w:val="2"/>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Значение характеристики</w:t>
            </w:r>
          </w:p>
        </w:tc>
        <w:tc>
          <w:tcPr>
            <w:gridSpan w:val="2"/>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Единица измерения характеристики</w:t>
            </w:r>
          </w:p>
        </w:tc>
        <w:tc>
          <w:tcPr>
            <w:vMerge/>
            <w:tcBorders>
              <w:left w:val="single" w:sz="4"/>
            </w:tcBorders>
            <w:shd w:val="clear" w:color="auto" w:fill="auto"/>
            <w:vAlign w:val="bottom"/>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318" w:hRule="exact"/>
        </w:trPr>
        <w:tc>
          <w:tcPr>
            <w:tcBorders>
              <w:top w:val="single" w:sz="4"/>
              <w:left w:val="single" w:sz="4"/>
            </w:tcBorders>
            <w:shd w:val="clear" w:color="auto" w:fill="auto"/>
            <w:vAlign w:val="top"/>
          </w:tcPr>
          <w:p>
            <w:pPr>
              <w:pStyle w:val="Style22"/>
              <w:keepNext w:val="0"/>
              <w:keepLines w:val="0"/>
              <w:widowControl w:val="0"/>
              <w:shd w:val="clear" w:color="auto" w:fill="auto"/>
              <w:tabs>
                <w:tab w:pos="686" w:val="left"/>
              </w:tabs>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Дренажная система для</w:t>
              <w:tab/>
              <w:t>одной</w:t>
            </w:r>
          </w:p>
          <w:p>
            <w:pPr>
              <w:pStyle w:val="Style22"/>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дренажной емкости</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32.50.13.19 0</w:t>
            </w:r>
          </w:p>
        </w:tc>
        <w:tc>
          <w:tcPr>
            <w:gridSpan w:val="5"/>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59" w:lineRule="auto"/>
              <w:ind w:left="0" w:right="0" w:firstLine="0"/>
              <w:jc w:val="both"/>
              <w:rPr>
                <w:sz w:val="10"/>
                <w:szCs w:val="10"/>
              </w:rPr>
            </w:pPr>
            <w:r>
              <w:rPr>
                <w:color w:val="000000"/>
                <w:spacing w:val="0"/>
                <w:w w:val="100"/>
                <w:position w:val="0"/>
                <w:sz w:val="10"/>
                <w:szCs w:val="10"/>
                <w:shd w:val="clear" w:color="auto" w:fill="auto"/>
                <w:lang w:val="ru-RU" w:eastAsia="ru-RU" w:bidi="ru-RU"/>
              </w:rPr>
              <w:t>Описание Дренажная регулируемая система для одной дренажной емкости включает: пластиковую завинчивающуюся крышку; пластиковые соединительные трубки, жесткую трубку со с кошенным концом, регулируемую по высоте Длина жесткой трубки, мм не менее 380 не более 420 Диаметр жесткой трубки, мм нс менее 7 Длина соединительной трубки на отсос, мм не менее 380 Длила соединительной трубки на пациента, мм не менее 1500 На конце тюбинговой системы имеется полупрозрачный гибкий коннекгор-«елочка» с колпачком, для предотвращения контаминации микроорганизмами соответствие Крышка с внутренней резьбой, из ПВХ, имеет два коннектора: один коллектор с резьбой для подсоединения соединительных трубок; второй гладкий коннектор для жесткой трубки. Диаметр крышки, мм не менее 37,8 не более 38,2 Длина первого коннектора, мм не менее 20 Наружный диаметр первого коннектора, мм нс менее 7 Длина второго коннектора, мм не менее 35 Наружный диаметр второго коннектора, мм не менее 10 не более 12 Упаковка стерильная, индивидуальная</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2030.00</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20300.00</w:t>
            </w:r>
          </w:p>
        </w:tc>
      </w:tr>
      <w:tr>
        <w:trPr>
          <w:trHeight w:val="197"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tabs>
                <w:tab w:pos="456" w:val="left"/>
              </w:tabs>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Катетер баллонный дня</w:t>
              <w:tab/>
              <w:t>временной</w:t>
            </w:r>
          </w:p>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стимуляции сердца</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32.50.13.11</w:t>
            </w:r>
          </w:p>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0-03215</w:t>
            </w:r>
          </w:p>
        </w:tc>
        <w:tc>
          <w:tcPr>
            <w:gridSpan w:val="2"/>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Размеры катетеров баллонных, Ег</w:t>
            </w:r>
          </w:p>
        </w:tc>
        <w:tc>
          <w:tcPr>
            <w:gridSpan w:val="2"/>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5.0000</w:t>
            </w: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5</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23856.00</w:t>
            </w:r>
          </w:p>
        </w:tc>
        <w:tc>
          <w:tcPr>
            <w:vMerge w:val="restart"/>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119280.0</w:t>
            </w:r>
          </w:p>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0</w:t>
            </w:r>
          </w:p>
        </w:tc>
      </w:tr>
      <w:tr>
        <w:trPr>
          <w:trHeight w:val="451"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gridSpan w:val="2"/>
            <w:tcBorders>
              <w:top w:val="single" w:sz="4"/>
              <w:left w:val="single" w:sz="4"/>
            </w:tcBorders>
            <w:shd w:val="clear" w:color="auto" w:fill="auto"/>
            <w:vAlign w:val="top"/>
          </w:tcPr>
          <w:p>
            <w:pPr>
              <w:pStyle w:val="Style22"/>
              <w:keepNext w:val="0"/>
              <w:keepLines w:val="0"/>
              <w:widowControl w:val="0"/>
              <w:shd w:val="clear" w:color="auto" w:fill="auto"/>
              <w:tabs>
                <w:tab w:pos="1286" w:val="left"/>
              </w:tabs>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Максимальный</w:t>
              <w:tab/>
              <w:t>объем</w:t>
            </w:r>
          </w:p>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наполнения баллона</w:t>
            </w:r>
          </w:p>
        </w:tc>
        <w:tc>
          <w:tcPr>
            <w:gridSpan w:val="2"/>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&gt; 0.75 и &lt; 1.5</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57" w:lineRule="auto"/>
              <w:ind w:left="0" w:right="0" w:firstLine="0"/>
              <w:jc w:val="left"/>
              <w:rPr>
                <w:sz w:val="10"/>
                <w:szCs w:val="10"/>
              </w:rPr>
            </w:pPr>
            <w:r>
              <w:rPr>
                <w:color w:val="000000"/>
                <w:spacing w:val="0"/>
                <w:w w:val="100"/>
                <w:position w:val="0"/>
                <w:sz w:val="10"/>
                <w:szCs w:val="10"/>
                <w:shd w:val="clear" w:color="auto" w:fill="auto"/>
                <w:lang w:val="ru-RU" w:eastAsia="ru-RU" w:bidi="ru-RU"/>
              </w:rPr>
              <w:t>Кубический сантиметр;</w:t>
            </w:r>
            <w:r>
              <w:rPr>
                <w:color w:val="000000"/>
                <w:spacing w:val="0"/>
                <w:w w:val="100"/>
                <w:position w:val="0"/>
                <w:sz w:val="10"/>
                <w:szCs w:val="10"/>
                <w:shd w:val="clear" w:color="auto" w:fill="auto"/>
                <w:vertAlign w:val="superscript"/>
                <w:lang w:val="ru-RU" w:eastAsia="ru-RU" w:bidi="ru-RU"/>
              </w:rPr>
              <w:t>л</w:t>
            </w:r>
            <w:r>
              <w:rPr>
                <w:color w:val="000000"/>
                <w:spacing w:val="0"/>
                <w:w w:val="100"/>
                <w:position w:val="0"/>
                <w:sz w:val="10"/>
                <w:szCs w:val="10"/>
                <w:shd w:val="clear" w:color="auto" w:fill="auto"/>
                <w:lang w:val="ru-RU" w:eastAsia="ru-RU" w:bidi="ru-RU"/>
              </w:rPr>
              <w:t>мил лилигр</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02"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gridSpan w:val="2"/>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Диаметр</w:t>
            </w:r>
          </w:p>
        </w:tc>
        <w:tc>
          <w:tcPr>
            <w:gridSpan w:val="2"/>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&gt;6и&lt;12</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Миллиметр</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2462" w:hRule="exact"/>
        </w:trPr>
        <w:tc>
          <w:tcPr>
            <w:tcBorders>
              <w:top w:val="single" w:sz="4"/>
              <w:left w:val="single" w:sz="4"/>
            </w:tcBorders>
            <w:shd w:val="clear" w:color="auto" w:fill="auto"/>
            <w:vAlign w:val="top"/>
          </w:tcPr>
          <w:p>
            <w:pPr>
              <w:pStyle w:val="Style22"/>
              <w:keepNext w:val="0"/>
              <w:keepLines w:val="0"/>
              <w:widowControl w:val="0"/>
              <w:shd w:val="clear" w:color="auto" w:fill="auto"/>
              <w:tabs>
                <w:tab w:pos="792" w:val="left"/>
              </w:tabs>
              <w:bidi w:val="0"/>
              <w:spacing w:before="0" w:after="0" w:line="266" w:lineRule="auto"/>
              <w:ind w:left="0" w:right="0" w:firstLine="0"/>
              <w:jc w:val="left"/>
              <w:rPr>
                <w:sz w:val="10"/>
                <w:szCs w:val="10"/>
              </w:rPr>
            </w:pPr>
            <w:r>
              <w:rPr>
                <w:color w:val="000000"/>
                <w:spacing w:val="0"/>
                <w:w w:val="100"/>
                <w:position w:val="0"/>
                <w:sz w:val="10"/>
                <w:szCs w:val="10"/>
                <w:shd w:val="clear" w:color="auto" w:fill="auto"/>
                <w:lang w:val="ru-RU" w:eastAsia="ru-RU" w:bidi="ru-RU"/>
              </w:rPr>
              <w:t>Набор</w:t>
              <w:tab/>
              <w:t>для</w:t>
            </w:r>
          </w:p>
          <w:p>
            <w:pPr>
              <w:pStyle w:val="Style22"/>
              <w:keepNext w:val="0"/>
              <w:keepLines w:val="0"/>
              <w:widowControl w:val="0"/>
              <w:shd w:val="clear" w:color="auto" w:fill="auto"/>
              <w:bidi w:val="0"/>
              <w:spacing w:before="0" w:after="0" w:line="266" w:lineRule="auto"/>
              <w:ind w:left="0" w:right="0" w:firstLine="0"/>
              <w:jc w:val="left"/>
              <w:rPr>
                <w:sz w:val="10"/>
                <w:szCs w:val="10"/>
              </w:rPr>
            </w:pPr>
            <w:r>
              <w:rPr>
                <w:color w:val="000000"/>
                <w:spacing w:val="0"/>
                <w:w w:val="100"/>
                <w:position w:val="0"/>
                <w:sz w:val="10"/>
                <w:szCs w:val="10"/>
                <w:shd w:val="clear" w:color="auto" w:fill="auto"/>
                <w:lang w:val="ru-RU" w:eastAsia="ru-RU" w:bidi="ru-RU"/>
              </w:rPr>
              <w:t>катетеризации периферических артерий</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32.50.13.19 0</w:t>
            </w:r>
          </w:p>
        </w:tc>
        <w:tc>
          <w:tcPr>
            <w:gridSpan w:val="5"/>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Описание Для инвазивного измерения гемодинамического давления и взятия проб крови, со встроенной удлинительной линией Катетер С гладкой атромбогенной поверхностью, полностью совместим с тканями и кровью, особая форма кончика облегчает введение катетера и обеспечивает хорошее скольжение при установке Диаметр катетера, мм не менее 0,89 не более 1,10 Длина катетера, мм не менее 150 не более 170 Материал катетера Фторэтиленпропилен (тефлон) Фиксирующие мягкие крылья из полиуретана с отверстиями для подшивания Наличие Интродьюсерная игла Цельный конический павильон снижает риск пункционной травмы и облегчает введение проводника. Диаметр ннтродьюсерной иглы, мм не менее 0,85 не более 1,10 Материал ннтродьюсерной иглы Нержавеющая сталь Длина интрадьюсерной иглы, мм не менее 50 не более 60 Винтовое соединение Луер Лок Проводник Имеет гибкий прямой кончик Длина проводника, см не менее 30 и не более 40 Материал проводника Нержавеющая сталь Диаметр проводника Соответствует диаметру катетера Упаковка Изделие стерильно, индивидуально упаковано</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60</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1646.40</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98784.00</w:t>
            </w:r>
          </w:p>
        </w:tc>
      </w:tr>
      <w:tr>
        <w:trPr>
          <w:trHeight w:val="571"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57" w:lineRule="auto"/>
              <w:ind w:left="0" w:right="0" w:firstLine="0"/>
              <w:jc w:val="left"/>
              <w:rPr>
                <w:sz w:val="10"/>
                <w:szCs w:val="10"/>
              </w:rPr>
            </w:pPr>
            <w:r>
              <w:rPr>
                <w:color w:val="000000"/>
                <w:spacing w:val="0"/>
                <w:w w:val="100"/>
                <w:position w:val="0"/>
                <w:sz w:val="10"/>
                <w:szCs w:val="10"/>
                <w:shd w:val="clear" w:color="auto" w:fill="auto"/>
                <w:lang w:val="ru-RU" w:eastAsia="ru-RU" w:bidi="ru-RU"/>
              </w:rPr>
              <w:t>Абсорбер диоксида углерода, многоразового использования</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32.50.21.12 9-00000005</w:t>
            </w:r>
          </w:p>
        </w:tc>
        <w:tc>
          <w:tcPr>
            <w:gridSpan w:val="5"/>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26</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5611.50</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145899.0 0</w:t>
            </w:r>
          </w:p>
        </w:tc>
      </w:tr>
      <w:tr>
        <w:trPr>
          <w:trHeight w:val="57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Система дренирования плевральной полости</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 0-00007619</w:t>
            </w:r>
          </w:p>
        </w:tc>
        <w:tc>
          <w:tcPr>
            <w:gridSpan w:val="5"/>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10</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7230.00</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72300.00</w:t>
            </w:r>
          </w:p>
        </w:tc>
      </w:tr>
      <w:tr>
        <w:trPr>
          <w:trHeight w:val="57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Тепло/ влагообменник, одноразового использования</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32.50.21.12 9-00000022</w:t>
            </w:r>
          </w:p>
        </w:tc>
        <w:tc>
          <w:tcPr>
            <w:gridSpan w:val="5"/>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750</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500.25</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375187.5 0</w:t>
            </w:r>
          </w:p>
        </w:tc>
      </w:tr>
      <w:tr>
        <w:trPr>
          <w:trHeight w:val="1344"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66" w:lineRule="auto"/>
              <w:ind w:left="0" w:right="0" w:firstLine="0"/>
              <w:jc w:val="left"/>
              <w:rPr>
                <w:sz w:val="10"/>
                <w:szCs w:val="10"/>
              </w:rPr>
            </w:pPr>
            <w:r>
              <w:rPr>
                <w:color w:val="000000"/>
                <w:spacing w:val="0"/>
                <w:w w:val="100"/>
                <w:position w:val="0"/>
                <w:sz w:val="10"/>
                <w:szCs w:val="10"/>
                <w:shd w:val="clear" w:color="auto" w:fill="auto"/>
                <w:lang w:val="ru-RU" w:eastAsia="ru-RU" w:bidi="ru-RU"/>
              </w:rPr>
              <w:t>Система для измерения объема мочи</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32.50.13.19 0</w:t>
            </w:r>
          </w:p>
        </w:tc>
        <w:tc>
          <w:tcPr>
            <w:gridSpan w:val="5"/>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64" w:lineRule="auto"/>
              <w:ind w:left="0" w:right="0" w:firstLine="0"/>
              <w:jc w:val="both"/>
              <w:rPr>
                <w:sz w:val="10"/>
                <w:szCs w:val="10"/>
              </w:rPr>
            </w:pPr>
            <w:r>
              <w:rPr>
                <w:color w:val="000000"/>
                <w:spacing w:val="0"/>
                <w:w w:val="100"/>
                <w:position w:val="0"/>
                <w:sz w:val="10"/>
                <w:szCs w:val="10"/>
                <w:shd w:val="clear" w:color="auto" w:fill="auto"/>
                <w:lang w:val="ru-RU" w:eastAsia="ru-RU" w:bidi="ru-RU"/>
              </w:rPr>
              <w:t>Описание Закрытая стерильная система измерения объема мочи, предназначенная для проведения диуреза и установления качества мочи, позволяет точно определить ее объем Объем пластиковой камеры, мл не менее 400 нс более 600 Градуировка шкала в мп наличие Возможность подвешивания емкости наличие Невозвратный спускной клапан для предотвращения обратного тока наличие Соединительная дренажная трубка с зажимом наличие Длина соединительной дренажной трубки, см не менее 110 Универсальный ребристый коннектор с колпачком наличие Отверстие на коннекторе для взятия проб мочи наличие</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100</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1087.52</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108752.0 0</w:t>
            </w:r>
          </w:p>
        </w:tc>
      </w:tr>
    </w:tbl>
    <w:p>
      <w:pPr>
        <w:sectPr>
          <w:footerReference w:type="default" r:id="rId5"/>
          <w:footerReference w:type="first" r:id="rId6"/>
          <w:footnotePr>
            <w:pos w:val="pageBottom"/>
            <w:numFmt w:val="decimal"/>
            <w:numRestart w:val="continuous"/>
          </w:footnotePr>
          <w:pgSz w:w="8400" w:h="11900"/>
          <w:pgMar w:top="1010" w:right="587" w:bottom="758" w:left="766" w:header="0" w:footer="3" w:gutter="0"/>
          <w:pgNumType w:start="1"/>
          <w:cols w:space="720"/>
          <w:noEndnote/>
          <w:titlePg/>
          <w:rtlGutter w:val="0"/>
          <w:docGrid w:linePitch="360"/>
        </w:sectPr>
      </w:pPr>
    </w:p>
    <w:tbl>
      <w:tblPr>
        <w:tblOverlap w:val="never"/>
        <w:jc w:val="center"/>
        <w:tblLayout w:type="fixed"/>
      </w:tblPr>
      <w:tblGrid>
        <w:gridCol w:w="1056"/>
        <w:gridCol w:w="619"/>
        <w:gridCol w:w="1656"/>
        <w:gridCol w:w="648"/>
        <w:gridCol w:w="840"/>
        <w:gridCol w:w="456"/>
        <w:gridCol w:w="499"/>
        <w:gridCol w:w="696"/>
        <w:gridCol w:w="523"/>
      </w:tblGrid>
      <w:tr>
        <w:trPr>
          <w:trHeight w:val="33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gridSpan w:val="3"/>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Объем мочеприемника, мл не менее 2000 Градуировка мочеприемника наличие Упаковка стерильная, индивидуальная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26"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Крепление мочеприемника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32.50.13.19 0</w:t>
            </w:r>
          </w:p>
        </w:tc>
        <w:tc>
          <w:tcPr>
            <w:gridSpan w:val="3"/>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Описание Крючок для фиксации, автоклавируемый Материал Полипропилен</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35</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1215.00</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42525.00</w:t>
            </w:r>
          </w:p>
        </w:tc>
      </w:tr>
      <w:tr>
        <w:trPr>
          <w:trHeight w:val="202"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Мочеприемник закрытый приклеивающийся для младенцев/педиатри ческий</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22.19.71.19 0-00000110</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Антивозвратный клапан</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Нет</w:t>
            </w:r>
          </w:p>
        </w:tc>
        <w:tc>
          <w:tcPr>
            <w:tcBorders>
              <w:top w:val="single" w:sz="4"/>
              <w:left w:val="single" w:sz="4"/>
            </w:tcBorders>
            <w:shd w:val="clear" w:color="auto" w:fill="auto"/>
            <w:vAlign w:val="top"/>
          </w:tcPr>
          <w:p>
            <w:pPr>
              <w:widowControl w:val="0"/>
              <w:rPr>
                <w:sz w:val="10"/>
                <w:szCs w:val="10"/>
              </w:rPr>
            </w:pP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1500</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8.25</w:t>
            </w:r>
          </w:p>
        </w:tc>
        <w:tc>
          <w:tcPr>
            <w:vMerge w:val="restart"/>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12375.00</w:t>
            </w:r>
          </w:p>
        </w:tc>
      </w:tr>
      <w:tr>
        <w:trPr>
          <w:trHeight w:val="32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Тип</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Унивсрсаль ный</w:t>
            </w:r>
          </w:p>
        </w:tc>
        <w:tc>
          <w:tcPr>
            <w:tcBorders>
              <w:top w:val="single" w:sz="4"/>
              <w:left w:val="single" w:sz="4"/>
            </w:tcBorders>
            <w:shd w:val="clear" w:color="auto" w:fill="auto"/>
            <w:vAlign w:val="top"/>
          </w:tcPr>
          <w:p>
            <w:pPr>
              <w:widowControl w:val="0"/>
              <w:rPr>
                <w:sz w:val="10"/>
                <w:szCs w:val="10"/>
              </w:rPr>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45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Объем мешка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71" w:lineRule="auto"/>
              <w:ind w:left="0" w:right="0" w:firstLine="0"/>
              <w:jc w:val="both"/>
              <w:rPr>
                <w:sz w:val="10"/>
                <w:szCs w:val="10"/>
              </w:rPr>
            </w:pPr>
            <w:r>
              <w:rPr>
                <w:color w:val="000000"/>
                <w:spacing w:val="0"/>
                <w:w w:val="100"/>
                <w:position w:val="0"/>
                <w:sz w:val="10"/>
                <w:szCs w:val="10"/>
                <w:shd w:val="clear" w:color="auto" w:fill="auto"/>
                <w:lang w:val="ru-RU" w:eastAsia="ru-RU" w:bidi="ru-RU"/>
              </w:rPr>
              <w:t>&gt; 100 и &lt; 150</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71" w:lineRule="auto"/>
              <w:ind w:left="0" w:right="0" w:firstLine="0"/>
              <w:jc w:val="left"/>
              <w:rPr>
                <w:sz w:val="10"/>
                <w:szCs w:val="10"/>
              </w:rPr>
            </w:pPr>
            <w:r>
              <w:rPr>
                <w:color w:val="000000"/>
                <w:spacing w:val="0"/>
                <w:w w:val="100"/>
                <w:position w:val="0"/>
                <w:sz w:val="10"/>
                <w:szCs w:val="10"/>
                <w:shd w:val="clear" w:color="auto" w:fill="auto"/>
                <w:lang w:val="ru-RU" w:eastAsia="ru-RU" w:bidi="ru-RU"/>
              </w:rPr>
              <w:t>Кубический сантиметр;</w:t>
            </w:r>
            <w:r>
              <w:rPr>
                <w:color w:val="000000"/>
                <w:spacing w:val="0"/>
                <w:w w:val="100"/>
                <w:position w:val="0"/>
                <w:sz w:val="10"/>
                <w:szCs w:val="10"/>
                <w:shd w:val="clear" w:color="auto" w:fill="auto"/>
                <w:vertAlign w:val="superscript"/>
                <w:lang w:val="ru-RU" w:eastAsia="ru-RU" w:bidi="ru-RU"/>
              </w:rPr>
              <w:t>л</w:t>
            </w:r>
            <w:r>
              <w:rPr>
                <w:color w:val="000000"/>
                <w:spacing w:val="0"/>
                <w:w w:val="100"/>
                <w:position w:val="0"/>
                <w:sz w:val="10"/>
                <w:szCs w:val="10"/>
                <w:shd w:val="clear" w:color="auto" w:fill="auto"/>
                <w:lang w:val="ru-RU" w:eastAsia="ru-RU" w:bidi="ru-RU"/>
              </w:rPr>
              <w:t>мил лилигр</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197" w:hRule="exact"/>
        </w:trPr>
        <w:tc>
          <w:tcPr>
            <w:vMerge w:val="restart"/>
            <w:tcBorders>
              <w:top w:val="single" w:sz="4"/>
              <w:left w:val="single" w:sz="4"/>
            </w:tcBorders>
            <w:shd w:val="clear" w:color="auto" w:fill="auto"/>
            <w:vAlign w:val="top"/>
          </w:tcPr>
          <w:p>
            <w:pPr>
              <w:pStyle w:val="Style22"/>
              <w:keepNext w:val="0"/>
              <w:keepLines w:val="0"/>
              <w:widowControl w:val="0"/>
              <w:shd w:val="clear" w:color="auto" w:fill="auto"/>
              <w:tabs>
                <w:tab w:pos="797" w:val="left"/>
              </w:tabs>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Набор</w:t>
              <w:tab/>
              <w:t>для</w:t>
            </w:r>
          </w:p>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выполнения клизмы</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22.19.71.19 0-00000053</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Диаметр отверстия наконечника</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&gt;3 и&lt;5</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Миллиметр</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1100</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vMerge w:val="restart"/>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168.05</w:t>
            </w:r>
          </w:p>
        </w:tc>
        <w:tc>
          <w:tcPr>
            <w:vMerge w:val="restart"/>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184855.0 0</w:t>
            </w:r>
          </w:p>
        </w:tc>
      </w:tr>
      <w:tr>
        <w:trPr>
          <w:trHeight w:val="456"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Объем емкости для раствора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1750.0000</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62" w:lineRule="auto"/>
              <w:ind w:left="0" w:right="0" w:firstLine="0"/>
              <w:jc w:val="left"/>
              <w:rPr>
                <w:sz w:val="10"/>
                <w:szCs w:val="10"/>
              </w:rPr>
            </w:pPr>
            <w:r>
              <w:rPr>
                <w:color w:val="000000"/>
                <w:spacing w:val="0"/>
                <w:w w:val="100"/>
                <w:position w:val="0"/>
                <w:sz w:val="10"/>
                <w:szCs w:val="10"/>
                <w:shd w:val="clear" w:color="auto" w:fill="auto"/>
                <w:lang w:val="ru-RU" w:eastAsia="ru-RU" w:bidi="ru-RU"/>
              </w:rPr>
              <w:t>Кубический сантиметр;</w:t>
            </w:r>
            <w:r>
              <w:rPr>
                <w:color w:val="000000"/>
                <w:spacing w:val="0"/>
                <w:w w:val="100"/>
                <w:position w:val="0"/>
                <w:sz w:val="10"/>
                <w:szCs w:val="10"/>
                <w:shd w:val="clear" w:color="auto" w:fill="auto"/>
                <w:vertAlign w:val="superscript"/>
                <w:lang w:val="ru-RU" w:eastAsia="ru-RU" w:bidi="ru-RU"/>
              </w:rPr>
              <w:t>л</w:t>
            </w:r>
            <w:r>
              <w:rPr>
                <w:color w:val="000000"/>
                <w:spacing w:val="0"/>
                <w:w w:val="100"/>
                <w:position w:val="0"/>
                <w:sz w:val="10"/>
                <w:szCs w:val="10"/>
                <w:shd w:val="clear" w:color="auto" w:fill="auto"/>
                <w:lang w:val="ru-RU" w:eastAsia="ru-RU" w:bidi="ru-RU"/>
              </w:rPr>
              <w:t>мил лилигр</w:t>
            </w: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vMerge/>
            <w:tcBorders>
              <w:left w:val="single" w:sz="4"/>
              <w:right w:val="single" w:sz="4"/>
            </w:tcBorders>
            <w:shd w:val="clear" w:color="auto" w:fill="auto"/>
            <w:vAlign w:val="top"/>
          </w:tcPr>
          <w:p>
            <w:pPr/>
          </w:p>
        </w:tc>
      </w:tr>
      <w:tr>
        <w:trPr>
          <w:trHeight w:val="56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57" w:lineRule="auto"/>
              <w:ind w:left="0" w:right="0" w:firstLine="0"/>
              <w:jc w:val="left"/>
              <w:rPr>
                <w:sz w:val="10"/>
                <w:szCs w:val="10"/>
              </w:rPr>
            </w:pPr>
            <w:r>
              <w:rPr>
                <w:color w:val="000000"/>
                <w:spacing w:val="0"/>
                <w:w w:val="100"/>
                <w:position w:val="0"/>
                <w:sz w:val="10"/>
                <w:szCs w:val="10"/>
                <w:shd w:val="clear" w:color="auto" w:fill="auto"/>
                <w:lang w:val="ru-RU" w:eastAsia="ru-RU" w:bidi="ru-RU"/>
              </w:rPr>
              <w:t>Электрод для электрокарднографи и, одноразового использования</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26.60.12.14 0-00000013</w:t>
            </w:r>
          </w:p>
        </w:tc>
        <w:tc>
          <w:tcPr>
            <w:gridSpan w:val="3"/>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1500</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8.85</w:t>
            </w:r>
          </w:p>
        </w:tc>
        <w:tc>
          <w:tcPr>
            <w:tcBorders>
              <w:top w:val="single" w:sz="4"/>
              <w:left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13275.00</w:t>
            </w:r>
          </w:p>
        </w:tc>
      </w:tr>
      <w:tr>
        <w:trPr>
          <w:trHeight w:val="581"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57" w:lineRule="auto"/>
              <w:ind w:left="0" w:right="0" w:firstLine="0"/>
              <w:jc w:val="left"/>
              <w:rPr>
                <w:sz w:val="10"/>
                <w:szCs w:val="10"/>
              </w:rPr>
            </w:pPr>
            <w:r>
              <w:rPr>
                <w:color w:val="000000"/>
                <w:spacing w:val="0"/>
                <w:w w:val="100"/>
                <w:position w:val="0"/>
                <w:sz w:val="10"/>
                <w:szCs w:val="10"/>
                <w:shd w:val="clear" w:color="auto" w:fill="auto"/>
                <w:lang w:val="ru-RU" w:eastAsia="ru-RU" w:bidi="ru-RU"/>
              </w:rPr>
              <w:t>Фиксатор чрескожного катстера/трубки, стерильный</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62" w:lineRule="auto"/>
              <w:ind w:left="0" w:right="0" w:firstLine="0"/>
              <w:jc w:val="both"/>
              <w:rPr>
                <w:sz w:val="10"/>
                <w:szCs w:val="10"/>
              </w:rPr>
            </w:pPr>
            <w:r>
              <w:rPr>
                <w:color w:val="000000"/>
                <w:spacing w:val="0"/>
                <w:w w:val="100"/>
                <w:position w:val="0"/>
                <w:sz w:val="10"/>
                <w:szCs w:val="10"/>
                <w:shd w:val="clear" w:color="auto" w:fill="auto"/>
                <w:lang w:val="ru-RU" w:eastAsia="ru-RU" w:bidi="ru-RU"/>
              </w:rPr>
              <w:t>32.50.13.19 0-00007031</w:t>
            </w:r>
          </w:p>
        </w:tc>
        <w:tc>
          <w:tcPr>
            <w:gridSpan w:val="3"/>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15000</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both"/>
              <w:rPr>
                <w:sz w:val="10"/>
                <w:szCs w:val="10"/>
              </w:rPr>
            </w:pPr>
            <w:r>
              <w:rPr>
                <w:color w:val="000000"/>
                <w:spacing w:val="0"/>
                <w:w w:val="100"/>
                <w:position w:val="0"/>
                <w:sz w:val="10"/>
                <w:szCs w:val="10"/>
                <w:shd w:val="clear" w:color="auto" w:fill="auto"/>
                <w:lang w:val="ru-RU" w:eastAsia="ru-RU" w:bidi="ru-RU"/>
              </w:rPr>
              <w:t>Штука</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ru-RU" w:eastAsia="ru-RU" w:bidi="ru-RU"/>
              </w:rPr>
              <w:t>19.71</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52" w:lineRule="auto"/>
              <w:ind w:left="0" w:right="0" w:firstLine="0"/>
              <w:jc w:val="left"/>
              <w:rPr>
                <w:sz w:val="10"/>
                <w:szCs w:val="10"/>
              </w:rPr>
            </w:pPr>
            <w:r>
              <w:rPr>
                <w:color w:val="000000"/>
                <w:spacing w:val="0"/>
                <w:w w:val="100"/>
                <w:position w:val="0"/>
                <w:sz w:val="10"/>
                <w:szCs w:val="10"/>
                <w:shd w:val="clear" w:color="auto" w:fill="auto"/>
                <w:lang w:val="ru-RU" w:eastAsia="ru-RU" w:bidi="ru-RU"/>
              </w:rPr>
              <w:t>295650.0 0</w:t>
            </w:r>
          </w:p>
        </w:tc>
      </w:tr>
    </w:tbl>
    <w:p>
      <w:pPr>
        <w:widowControl w:val="0"/>
        <w:spacing w:after="179" w:line="1" w:lineRule="exact"/>
      </w:pP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1) и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(перечень 2).</w:t>
      </w:r>
    </w:p>
    <w:p>
      <w:pPr>
        <w:pStyle w:val="Style13"/>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Пунктом 2.2 Постановления № 102 установлено:</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не могут быть предметом одного контракта (одного лота) медицинские изделия, включенные в перечень № 2 и не включенные в него.</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Комиссией Управления установлено, что товар с кодом КТРУ 32.50.21.129-00000022 «Тепло/влагообменник, одноразового использования» включен в Перечень 2, утвержденный Постановлением № 102. Однако остальные товары в данном перечне отсутствуют. Таким образом, по закупке 0387200002823000487 Заказчиком размещены в одной процедуре товары с разной степенью запретов и ограничений, что является нарушением положений о контрактной системе.</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На основании вышеизложенного Заказчиком не установлены ограничения, предусмотренные Постановлением Правительства РФ № 102, тем самым допущено нарушение части 3 статьи 14, пункта 15 части 1 статьи 42, пункта 2 части 29 статьи 34 Закона о контрактной системе.</w:t>
      </w:r>
    </w:p>
    <w:p>
      <w:pPr>
        <w:pStyle w:val="Style13"/>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Следовательно, довод Заявителя является обоснованным.</w:t>
      </w:r>
    </w:p>
    <w:p>
      <w:pPr>
        <w:pStyle w:val="Style13"/>
        <w:keepNext w:val="0"/>
        <w:keepLines w:val="0"/>
        <w:widowControl w:val="0"/>
        <w:shd w:val="clear" w:color="auto" w:fill="auto"/>
        <w:bidi w:val="0"/>
        <w:spacing w:before="0" w:after="80" w:line="276" w:lineRule="auto"/>
        <w:ind w:left="0" w:right="0" w:firstLine="500"/>
        <w:jc w:val="both"/>
        <w:sectPr>
          <w:footerReference w:type="default" r:id="rId7"/>
          <w:footnotePr>
            <w:pos w:val="pageBottom"/>
            <w:numFmt w:val="decimal"/>
            <w:numRestart w:val="continuous"/>
          </w:footnotePr>
          <w:pgSz w:w="8400" w:h="11900"/>
          <w:pgMar w:top="1206" w:right="761" w:bottom="341" w:left="588" w:header="778" w:footer="3" w:gutter="0"/>
          <w:cols w:space="720"/>
          <w:noEndnote/>
          <w:rtlGutter w:val="0"/>
          <w:docGrid w:linePitch="360"/>
        </w:sectPr>
      </w:pPr>
      <w:r>
        <w:rPr>
          <w:color w:val="000000"/>
          <w:spacing w:val="0"/>
          <w:w w:val="100"/>
          <w:position w:val="0"/>
          <w:shd w:val="clear" w:color="auto" w:fill="auto"/>
          <w:lang w:val="ru-RU" w:eastAsia="ru-RU" w:bidi="ru-RU"/>
        </w:rPr>
        <w:t>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2023-3304</w:t>
      </w:r>
    </w:p>
    <w:p>
      <w:pPr>
        <w:widowControl w:val="0"/>
        <w:spacing w:line="1" w:lineRule="exact"/>
      </w:pPr>
      <w:r>
        <mc:AlternateContent>
          <mc:Choice Requires="wps">
            <w:drawing>
              <wp:anchor distT="0" distB="353695" distL="117475" distR="114300" simplePos="0" relativeHeight="125829380" behindDoc="0" locked="0" layoutInCell="1" allowOverlap="1">
                <wp:simplePos x="0" y="0"/>
                <wp:positionH relativeFrom="page">
                  <wp:posOffset>4180840</wp:posOffset>
                </wp:positionH>
                <wp:positionV relativeFrom="paragraph">
                  <wp:posOffset>5020310</wp:posOffset>
                </wp:positionV>
                <wp:extent cx="792480" cy="133985"/>
                <wp:wrapSquare wrapText="left"/>
                <wp:docPr id="5" name="Shape 5"/>
                <a:graphic xmlns:a="http://schemas.openxmlformats.org/drawingml/2006/main">
                  <a:graphicData uri="http://schemas.microsoft.com/office/word/2010/wordprocessingShape">
                    <wps:wsp>
                      <wps:cNvSpPr txBox="1"/>
                      <wps:spPr>
                        <a:xfrm>
                          <a:ext cx="792480" cy="1339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31" type="#_x0000_t202" style="position:absolute;margin-left:329.19999999999999pt;margin-top:395.30000000000001pt;width:62.399999999999999pt;height:10.550000000000001pt;z-index:-125829373;mso-wrap-distance-left:9.25pt;mso-wrap-distance-right:9.pt;mso-wrap-distance-bottom:27.8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v:textbox>
                <w10:wrap type="square" side="left" anchorx="page"/>
              </v:shape>
            </w:pict>
          </mc:Fallback>
        </mc:AlternateContent>
      </w:r>
      <w:r>
        <mc:AlternateContent>
          <mc:Choice Requires="wps">
            <w:drawing>
              <wp:anchor distT="359410" distB="0" distL="114300" distR="297180" simplePos="0" relativeHeight="125829382" behindDoc="0" locked="0" layoutInCell="1" allowOverlap="1">
                <wp:simplePos x="0" y="0"/>
                <wp:positionH relativeFrom="page">
                  <wp:posOffset>4177665</wp:posOffset>
                </wp:positionH>
                <wp:positionV relativeFrom="paragraph">
                  <wp:posOffset>5379720</wp:posOffset>
                </wp:positionV>
                <wp:extent cx="612775" cy="128270"/>
                <wp:wrapSquare wrapText="left"/>
                <wp:docPr id="7" name="Shape 7"/>
                <a:graphic xmlns:a="http://schemas.openxmlformats.org/drawingml/2006/main">
                  <a:graphicData uri="http://schemas.microsoft.com/office/word/2010/wordprocessingShape">
                    <wps:wsp>
                      <wps:cNvSpPr txBox="1"/>
                      <wps:spPr>
                        <a:xfrm>
                          <a:ext cx="61277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wps:txbx>
                      <wps:bodyPr wrap="none" lIns="0" tIns="0" rIns="0" bIns="0">
                        <a:noAutoFit/>
                      </wps:bodyPr>
                    </wps:wsp>
                  </a:graphicData>
                </a:graphic>
              </wp:anchor>
            </w:drawing>
          </mc:Choice>
          <mc:Fallback>
            <w:pict>
              <v:shape id="_x0000_s1033" type="#_x0000_t202" style="position:absolute;margin-left:328.94999999999999pt;margin-top:423.60000000000002pt;width:48.25pt;height:10.1pt;z-index:-125829371;mso-wrap-distance-left:9.pt;mso-wrap-distance-top:28.300000000000001pt;mso-wrap-distance-right:23.400000000000002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v:textbox>
                <w10:wrap type="square" side="left" anchorx="page"/>
              </v:shape>
            </w:pict>
          </mc:Fallback>
        </mc:AlternateContent>
      </w:r>
    </w:p>
    <w:p>
      <w:pPr>
        <w:pStyle w:val="Style13"/>
        <w:keepNext w:val="0"/>
        <w:keepLines w:val="0"/>
        <w:widowControl w:val="0"/>
        <w:shd w:val="clear" w:color="auto" w:fill="auto"/>
        <w:bidi w:val="0"/>
        <w:spacing w:before="0" w:after="0" w:line="240" w:lineRule="auto"/>
        <w:ind w:left="0" w:right="0" w:firstLine="0"/>
        <w:jc w:val="both"/>
      </w:pPr>
      <w:r>
        <w:drawing>
          <wp:anchor distT="0" distB="0" distL="0" distR="0" simplePos="0" relativeHeight="62914692" behindDoc="1" locked="0" layoutInCell="1" allowOverlap="1">
            <wp:simplePos x="0" y="0"/>
            <wp:positionH relativeFrom="margin">
              <wp:posOffset>2889250</wp:posOffset>
            </wp:positionH>
            <wp:positionV relativeFrom="margin">
              <wp:posOffset>4599305</wp:posOffset>
            </wp:positionV>
            <wp:extent cx="1090930" cy="171323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8"/>
                    <a:stretch/>
                  </pic:blipFill>
                  <pic:spPr>
                    <a:xfrm>
                      <a:ext cx="1090930" cy="1713230"/>
                    </a:xfrm>
                    <a:prstGeom prst="rect"/>
                  </pic:spPr>
                </pic:pic>
              </a:graphicData>
            </a:graphic>
          </wp:anchor>
        </w:drawing>
      </w:r>
      <w:r>
        <w:rPr>
          <w:color w:val="000000"/>
          <w:spacing w:val="0"/>
          <w:w w:val="100"/>
          <w:position w:val="0"/>
          <w:shd w:val="clear" w:color="auto" w:fill="auto"/>
          <w:lang w:val="ru-RU" w:eastAsia="ru-RU" w:bidi="ru-RU"/>
        </w:rPr>
        <w:t>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3"/>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Таким образом, Комиссия Управления решила выдать обязательное для исполнения предписание.</w:t>
      </w:r>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Жалоба АО «ББ Труп» (ИНН: 1215228078; ОГРН: 1191215001735) от 25.04.2023 №4193/23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3"/>
        <w:keepNext w:val="0"/>
        <w:keepLines w:val="0"/>
        <w:widowControl w:val="0"/>
        <w:shd w:val="clear" w:color="auto" w:fill="auto"/>
        <w:bidi w:val="0"/>
        <w:spacing w:before="0" w:after="180" w:line="240" w:lineRule="auto"/>
        <w:ind w:left="0" w:right="0" w:firstLine="50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99,106 Закона о контрактной системе, Комиссия Управления</w:t>
      </w:r>
    </w:p>
    <w:p>
      <w:pPr>
        <w:pStyle w:val="Style11"/>
        <w:keepNext/>
        <w:keepLines/>
        <w:widowControl w:val="0"/>
        <w:shd w:val="clear" w:color="auto" w:fill="auto"/>
        <w:bidi w:val="0"/>
        <w:spacing w:before="0" w:after="180" w:line="240" w:lineRule="auto"/>
        <w:ind w:left="0" w:right="0" w:firstLine="0"/>
        <w:jc w:val="center"/>
      </w:pPr>
      <w:bookmarkStart w:id="14" w:name="bookmark14"/>
      <w:r>
        <w:rPr>
          <w:color w:val="000000"/>
          <w:spacing w:val="0"/>
          <w:w w:val="100"/>
          <w:position w:val="0"/>
          <w:shd w:val="clear" w:color="auto" w:fill="auto"/>
          <w:lang w:val="ru-RU" w:eastAsia="ru-RU" w:bidi="ru-RU"/>
        </w:rPr>
        <w:t>РЕШИЛА:</w:t>
      </w:r>
      <w:bookmarkEnd w:id="14"/>
    </w:p>
    <w:p>
      <w:pPr>
        <w:pStyle w:val="Style13"/>
        <w:keepNext w:val="0"/>
        <w:keepLines w:val="0"/>
        <w:widowControl w:val="0"/>
        <w:numPr>
          <w:ilvl w:val="0"/>
          <w:numId w:val="3"/>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Жалоба АО «ББ Труп» (ИНН: 1215228078; ОГРН: 1191215001735) от 25.04.2023 №4193/23, на действия Заказчика - Бюджетное учреждение Ханты-Мансийского автономного округа-Югры «Окружная клиническая больница», при проведении электронного аукциона, предметом которого является Поставка медицинских расходных материалов (извещение № 0387200002823000487)обоснованной.</w:t>
      </w:r>
    </w:p>
    <w:p>
      <w:pPr>
        <w:pStyle w:val="Style13"/>
        <w:keepNext w:val="0"/>
        <w:keepLines w:val="0"/>
        <w:widowControl w:val="0"/>
        <w:numPr>
          <w:ilvl w:val="0"/>
          <w:numId w:val="3"/>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Признать в действиях Заказчика - Бюджетное учреждение Ханты-Мансийского автономного округа-Югры «Окружная клиническая больница» нарушение положений 3 статьи 14, пункта 15 части 1 статьи 42, пункта 2 части 29 статьи 34 Федерального закона от 05.04.2013 К 44- ФЗ «О контрактной системе в сфере закупок товаров, работ; услуг для обеспечения государственных и муниципальных нужд».</w:t>
      </w:r>
    </w:p>
    <w:p>
      <w:pPr>
        <w:pStyle w:val="Style13"/>
        <w:keepNext w:val="0"/>
        <w:keepLines w:val="0"/>
        <w:widowControl w:val="0"/>
        <w:numPr>
          <w:ilvl w:val="0"/>
          <w:numId w:val="3"/>
        </w:numPr>
        <w:shd w:val="clear" w:color="auto" w:fill="auto"/>
        <w:tabs>
          <w:tab w:pos="740"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Выдать Заказчику - Бюджетное учреждение Ханты-Мансийского автономного округа- Югры «Окружная клиническая больница» обязательное для исполнения предписание.</w:t>
      </w:r>
    </w:p>
    <w:p>
      <w:pPr>
        <w:pStyle w:val="Style13"/>
        <w:keepNext w:val="0"/>
        <w:keepLines w:val="0"/>
        <w:widowControl w:val="0"/>
        <w:numPr>
          <w:ilvl w:val="0"/>
          <w:numId w:val="3"/>
        </w:numPr>
        <w:shd w:val="clear" w:color="auto" w:fill="auto"/>
        <w:tabs>
          <w:tab w:pos="73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3"/>
        <w:keepNext w:val="0"/>
        <w:keepLines w:val="0"/>
        <w:widowControl w:val="0"/>
        <w:numPr>
          <w:ilvl w:val="0"/>
          <w:numId w:val="3"/>
        </w:numPr>
        <w:shd w:val="clear" w:color="auto" w:fill="auto"/>
        <w:tabs>
          <w:tab w:pos="735" w:val="left"/>
        </w:tabs>
        <w:bidi w:val="0"/>
        <w:spacing w:before="0" w:after="560" w:line="240" w:lineRule="auto"/>
        <w:ind w:left="0" w:right="0" w:firstLine="500"/>
        <w:jc w:val="both"/>
      </w:pPr>
      <w:r>
        <w:rPr>
          <w:color w:val="000000"/>
          <w:spacing w:val="0"/>
          <w:w w:val="100"/>
          <w:position w:val="0"/>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тоуто.гакирИ.еоу.ги</w:t>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 xml:space="preserve">Председатель </w:t>
      </w:r>
      <w:r>
        <w:rPr>
          <w:smallCaps/>
          <w:color w:val="000000"/>
          <w:spacing w:val="0"/>
          <w:w w:val="100"/>
          <w:position w:val="0"/>
          <w:shd w:val="clear" w:color="auto" w:fill="auto"/>
          <w:lang w:val="ru-RU" w:eastAsia="ru-RU" w:bidi="ru-RU"/>
        </w:rPr>
        <w:t>Комиссии</w:t>
      </w:r>
    </w:p>
    <w:p>
      <w:pPr>
        <w:pStyle w:val="Style13"/>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380" w:line="240" w:lineRule="auto"/>
        <w:ind w:left="0" w:right="340" w:firstLine="0"/>
        <w:jc w:val="right"/>
      </w:pPr>
      <w:r>
        <w:rPr>
          <w:color w:val="000000"/>
          <w:spacing w:val="0"/>
          <w:w w:val="100"/>
          <w:position w:val="0"/>
          <w:shd w:val="clear" w:color="auto" w:fill="auto"/>
          <w:lang w:val="ru-RU" w:eastAsia="ru-RU" w:bidi="ru-RU"/>
        </w:rPr>
        <w:t>С.И. Сафонов</w:t>
      </w:r>
    </w:p>
    <w:p>
      <w:pPr>
        <w:pStyle w:val="Style6"/>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w:t>
      </w:r>
      <w:r>
        <w:br w:type="page"/>
      </w:r>
    </w:p>
    <w:p>
      <w:pPr>
        <w:pStyle w:val="Style6"/>
        <w:keepNext w:val="0"/>
        <w:keepLines w:val="0"/>
        <w:widowControl w:val="0"/>
        <w:shd w:val="clear" w:color="auto" w:fill="auto"/>
        <w:bidi w:val="0"/>
        <w:spacing w:before="0" w:after="0" w:line="240" w:lineRule="auto"/>
        <w:ind w:left="0" w:right="0" w:firstLine="0"/>
        <w:jc w:val="left"/>
        <w:sectPr>
          <w:footerReference w:type="default" r:id="rId10"/>
          <w:footnotePr>
            <w:pos w:val="pageBottom"/>
            <w:numFmt w:val="decimal"/>
            <w:numRestart w:val="continuous"/>
          </w:footnotePr>
          <w:pgSz w:w="8400" w:h="11900"/>
          <w:pgMar w:top="1153" w:right="454" w:bottom="789" w:left="896" w:header="725" w:footer="3" w:gutter="0"/>
          <w:cols w:space="720"/>
          <w:noEndnote/>
          <w:rtlGutter w:val="0"/>
          <w:docGrid w:linePitch="360"/>
        </w:sectPr>
      </w:pPr>
      <w:r>
        <w:rPr>
          <w:color w:val="000000"/>
          <w:spacing w:val="0"/>
          <w:w w:val="100"/>
          <w:position w:val="0"/>
          <w:shd w:val="clear" w:color="auto" w:fill="auto"/>
          <w:lang w:val="ru-RU" w:eastAsia="ru-RU" w:bidi="ru-RU"/>
        </w:rPr>
        <w:t>месяцев с даты принятия.</w:t>
      </w:r>
    </w:p>
    <w:p>
      <w:pPr>
        <w:pStyle w:val="Style6"/>
        <w:keepNext w:val="0"/>
        <w:keepLines w:val="0"/>
        <w:framePr w:w="2194" w:h="336" w:wrap="none" w:hAnchor="page" w:x="1271" w:y="30"/>
        <w:widowControl w:val="0"/>
        <w:shd w:val="clear" w:color="auto" w:fill="auto"/>
        <w:bidi w:val="0"/>
        <w:spacing w:before="0" w:after="0" w:line="240" w:lineRule="auto"/>
        <w:ind w:left="0" w:right="0" w:firstLine="0"/>
        <w:jc w:val="center"/>
        <w:rPr>
          <w:sz w:val="11"/>
          <w:szCs w:val="11"/>
        </w:rPr>
      </w:pPr>
      <w:r>
        <w:rPr>
          <w:b w:val="0"/>
          <w:bCs w:val="0"/>
          <w:color w:val="000000"/>
          <w:spacing w:val="0"/>
          <w:w w:val="100"/>
          <w:position w:val="0"/>
          <w:sz w:val="11"/>
          <w:szCs w:val="11"/>
          <w:shd w:val="clear" w:color="auto" w:fill="auto"/>
          <w:lang w:val="ru-RU" w:eastAsia="ru-RU" w:bidi="ru-RU"/>
        </w:rPr>
        <w:t>Ф1</w:t>
      </w:r>
      <w:r>
        <w:rPr>
          <w:b w:val="0"/>
          <w:bCs w:val="0"/>
          <w:i w:val="0"/>
          <w:iCs w:val="0"/>
          <w:color w:val="000000"/>
          <w:spacing w:val="0"/>
          <w:w w:val="100"/>
          <w:position w:val="0"/>
          <w:sz w:val="11"/>
          <w:szCs w:val="11"/>
          <w:shd w:val="clear" w:color="auto" w:fill="auto"/>
          <w:lang w:val="ru-RU" w:eastAsia="ru-RU" w:bidi="ru-RU"/>
        </w:rPr>
        <w:t xml:space="preserve"> Ч! 1‘\ 1Ы1ЛЯ</w:t>
      </w:r>
    </w:p>
    <w:p>
      <w:pPr>
        <w:pStyle w:val="Style2"/>
        <w:keepNext w:val="0"/>
        <w:keepLines w:val="0"/>
        <w:framePr w:w="2194" w:h="336" w:wrap="none" w:hAnchor="page" w:x="1271" w:y="3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p>
      <w:pPr>
        <w:pStyle w:val="Style2"/>
        <w:keepNext w:val="0"/>
        <w:keepLines w:val="0"/>
        <w:framePr w:w="2280" w:h="994" w:wrap="none" w:hAnchor="page" w:x="1275" w:y="486"/>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1Н Н Г1Ш</w:t>
      </w:r>
    </w:p>
    <w:p>
      <w:pPr>
        <w:pStyle w:val="Style2"/>
        <w:keepNext w:val="0"/>
        <w:keepLines w:val="0"/>
        <w:framePr w:w="2280" w:h="994" w:wrap="none" w:hAnchor="page" w:x="1275" w:y="4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&lt;Н ир и«о« иинм)шик иной</w:t>
      </w:r>
    </w:p>
    <w:p>
      <w:pPr>
        <w:pStyle w:val="Style2"/>
        <w:keepNext w:val="0"/>
        <w:keepLines w:val="0"/>
        <w:framePr w:w="2280" w:h="994" w:wrap="none" w:hAnchor="page" w:x="1275" w:y="48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&lt; п н&gt; зн Ч з» М деяи шу</w:t>
      </w:r>
    </w:p>
    <w:p>
      <w:pPr>
        <w:pStyle w:val="Style2"/>
        <w:keepNext w:val="0"/>
        <w:keepLines w:val="0"/>
        <w:framePr w:w="2280" w:h="994" w:wrap="none" w:hAnchor="page" w:x="1275" w:y="486"/>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ru-RU" w:eastAsia="ru-RU" w:bidi="ru-RU"/>
        </w:rPr>
        <w:t>Я1 I &gt;ШЗ (НИ (3 Р ! ОЦ1</w:t>
      </w:r>
    </w:p>
    <w:p>
      <w:pPr>
        <w:pStyle w:val="Style27"/>
        <w:keepNext w:val="0"/>
        <w:keepLines w:val="0"/>
        <w:framePr w:w="2280" w:h="994" w:wrap="none" w:hAnchor="page" w:x="1275" w:y="486"/>
        <w:widowControl w:val="0"/>
        <w:shd w:val="clear" w:color="auto" w:fill="auto"/>
        <w:tabs>
          <w:tab w:pos="197" w:val="left"/>
          <w:tab w:pos="835" w:val="left"/>
        </w:tabs>
        <w:bidi w:val="0"/>
        <w:spacing w:before="0" w:after="0" w:line="240" w:lineRule="auto"/>
        <w:ind w:left="0" w:right="0" w:firstLine="0"/>
        <w:jc w:val="center"/>
      </w:pPr>
      <w:r>
        <w:rPr>
          <w:color w:val="000000"/>
          <w:spacing w:val="0"/>
          <w:w w:val="100"/>
          <w:position w:val="0"/>
          <w:shd w:val="clear" w:color="auto" w:fill="auto"/>
          <w:lang w:val="ru-RU" w:eastAsia="ru-RU" w:bidi="ru-RU"/>
        </w:rPr>
        <w:t>3</w:t>
        <w:tab/>
        <w:t>1* р 5</w:t>
        <w:tab/>
        <w:t>\ II Н М I 1И ( &amp;Я2</w:t>
      </w:r>
    </w:p>
    <w:p>
      <w:pPr>
        <w:pStyle w:val="Style27"/>
        <w:keepNext w:val="0"/>
        <w:keepLines w:val="0"/>
        <w:framePr w:w="2280" w:h="994" w:wrap="none" w:hAnchor="page" w:x="1275" w:y="486"/>
        <w:widowControl w:val="0"/>
        <w:shd w:val="clear" w:color="auto" w:fill="auto"/>
        <w:tabs>
          <w:tab w:pos="230" w:val="left"/>
        </w:tabs>
        <w:bidi w:val="0"/>
        <w:spacing w:before="0" w:after="40" w:line="240" w:lineRule="auto"/>
        <w:ind w:left="0" w:right="0" w:firstLine="0"/>
        <w:jc w:val="center"/>
      </w:pPr>
      <w:r>
        <w:rPr>
          <w:color w:val="000000"/>
          <w:spacing w:val="0"/>
          <w:w w:val="100"/>
          <w:position w:val="0"/>
          <w:shd w:val="clear" w:color="auto" w:fill="auto"/>
          <w:lang w:val="ru-RU" w:eastAsia="ru-RU" w:bidi="ru-RU"/>
        </w:rPr>
        <w:t>4.</w:t>
        <w:tab/>
        <w:t xml:space="preserve">3 I (| 3! &lt; -Р 3 </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 I</w:t>
      </w:r>
    </w:p>
    <w:p>
      <w:pPr>
        <w:pStyle w:val="Style29"/>
        <w:keepNext/>
        <w:keepLines/>
        <w:framePr w:w="1219" w:h="432" w:wrap="none" w:hAnchor="page" w:x="1131" w:y="1686"/>
        <w:widowControl w:val="0"/>
        <w:shd w:val="clear" w:color="auto" w:fill="auto"/>
        <w:tabs>
          <w:tab w:leader="dot" w:pos="86" w:val="left"/>
          <w:tab w:leader="dot" w:pos="283" w:val="left"/>
        </w:tabs>
        <w:bidi w:val="0"/>
        <w:spacing w:before="0" w:after="0" w:line="240" w:lineRule="auto"/>
        <w:ind w:left="0" w:right="0" w:firstLine="0"/>
        <w:jc w:val="left"/>
      </w:pPr>
      <w:bookmarkStart w:id="16" w:name="bookmark16"/>
      <w:r>
        <w:rPr>
          <w:rFonts w:ascii="Courier New" w:eastAsia="Courier New" w:hAnsi="Courier New" w:cs="Courier New"/>
          <w:color w:val="000000"/>
          <w:spacing w:val="0"/>
          <w:w w:val="100"/>
          <w:position w:val="0"/>
          <w:shd w:val="clear" w:color="auto" w:fill="auto"/>
          <w:lang w:val="ru-RU" w:eastAsia="ru-RU" w:bidi="ru-RU"/>
        </w:rPr>
        <w:tab/>
        <w:t>:</w:t>
        <w:tab/>
        <w:t>^-'л;</w:t>
      </w:r>
      <w:bookmarkEnd w:id="16"/>
    </w:p>
    <w:p>
      <w:pPr>
        <w:pStyle w:val="Style11"/>
        <w:keepNext/>
        <w:keepLines/>
        <w:framePr w:w="3374" w:h="3586" w:wrap="none" w:hAnchor="page" w:x="4535" w:y="1"/>
        <w:widowControl w:val="0"/>
        <w:shd w:val="clear" w:color="auto" w:fill="auto"/>
        <w:bidi w:val="0"/>
        <w:spacing w:before="0" w:after="0" w:line="240" w:lineRule="auto"/>
        <w:ind w:left="0" w:right="0" w:firstLine="0"/>
        <w:jc w:val="left"/>
      </w:pPr>
      <w:bookmarkStart w:id="18" w:name="bookmark18"/>
      <w:r>
        <w:rPr>
          <w:color w:val="000000"/>
          <w:spacing w:val="0"/>
          <w:w w:val="100"/>
          <w:position w:val="0"/>
          <w:shd w:val="clear" w:color="auto" w:fill="auto"/>
          <w:lang w:val="ru-RU" w:eastAsia="ru-RU" w:bidi="ru-RU"/>
        </w:rPr>
        <w:t>Оператор электронной площадки:</w:t>
      </w:r>
      <w:bookmarkEnd w:id="18"/>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«НЭП - Фабрикант»</w:t>
      </w:r>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«ЭТС» 123112, Москва, Тестовская улица, 10, «Москва Сити», Северная башня, 1 подъезд, 25 этаж</w:t>
      </w:r>
    </w:p>
    <w:p>
      <w:pPr>
        <w:pStyle w:val="Style13"/>
        <w:keepNext w:val="0"/>
        <w:keepLines w:val="0"/>
        <w:framePr w:w="3374" w:h="3586" w:wrap="none" w:hAnchor="page" w:x="4535" w:y="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119435, г. Москва, Большой Саввинский переулок, д.12, стр.9</w:t>
      </w:r>
    </w:p>
    <w:p>
      <w:pPr>
        <w:pStyle w:val="Style11"/>
        <w:keepNext/>
        <w:keepLines/>
        <w:framePr w:w="3374" w:h="3586" w:wrap="none" w:hAnchor="page" w:x="4535" w:y="1"/>
        <w:widowControl w:val="0"/>
        <w:shd w:val="clear" w:color="auto" w:fill="auto"/>
        <w:bidi w:val="0"/>
        <w:spacing w:before="0" w:after="0" w:line="240" w:lineRule="auto"/>
        <w:ind w:left="0" w:right="0" w:firstLine="0"/>
        <w:jc w:val="left"/>
      </w:pPr>
      <w:bookmarkStart w:id="20" w:name="bookmark20"/>
      <w:r>
        <w:rPr>
          <w:color w:val="000000"/>
          <w:spacing w:val="0"/>
          <w:w w:val="100"/>
          <w:position w:val="0"/>
          <w:shd w:val="clear" w:color="auto" w:fill="auto"/>
          <w:lang w:val="ru-RU" w:eastAsia="ru-RU" w:bidi="ru-RU"/>
        </w:rPr>
        <w:t>Заявитель:</w:t>
      </w:r>
      <w:bookmarkEnd w:id="20"/>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«ББ Труп»</w:t>
      </w:r>
    </w:p>
    <w:p>
      <w:pPr>
        <w:pStyle w:val="Style13"/>
        <w:keepNext w:val="0"/>
        <w:keepLines w:val="0"/>
        <w:framePr w:w="3374" w:h="3586" w:wrap="none" w:hAnchor="page" w:x="4535" w:y="1"/>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424005, г. Йошкар-Ола, ул. Тракт Сернурский, дом 4, пом. 10</w:t>
      </w:r>
    </w:p>
    <w:p>
      <w:pPr>
        <w:pStyle w:val="Style11"/>
        <w:keepNext/>
        <w:keepLines/>
        <w:framePr w:w="3374" w:h="3586" w:wrap="none" w:hAnchor="page" w:x="4535" w:y="1"/>
        <w:widowControl w:val="0"/>
        <w:shd w:val="clear" w:color="auto" w:fill="auto"/>
        <w:bidi w:val="0"/>
        <w:spacing w:before="0" w:after="0" w:line="240" w:lineRule="auto"/>
        <w:ind w:left="0" w:right="0" w:firstLine="0"/>
        <w:jc w:val="left"/>
      </w:pPr>
      <w:bookmarkStart w:id="22" w:name="bookmark22"/>
      <w:r>
        <w:rPr>
          <w:color w:val="000000"/>
          <w:spacing w:val="0"/>
          <w:w w:val="100"/>
          <w:position w:val="0"/>
          <w:shd w:val="clear" w:color="auto" w:fill="auto"/>
          <w:lang w:val="ru-RU" w:eastAsia="ru-RU" w:bidi="ru-RU"/>
        </w:rPr>
        <w:t>Заказчик:</w:t>
      </w:r>
      <w:bookmarkEnd w:id="22"/>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Бюджетное учреждение Ханты-Мансийского автономного округа-Югры «Окружная клиническая больница»</w:t>
      </w:r>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628011, ХМАО-Югра, г. Ханты-Мансийск, ул.</w:t>
      </w:r>
    </w:p>
    <w:p>
      <w:pPr>
        <w:pStyle w:val="Style13"/>
        <w:keepNext w:val="0"/>
        <w:keepLines w:val="0"/>
        <w:framePr w:w="3374" w:h="3586" w:wrap="none" w:hAnchor="page" w:x="4535"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Калинина, д. 40</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5" w:line="1" w:lineRule="exact"/>
      </w:pPr>
    </w:p>
    <w:p>
      <w:pPr>
        <w:widowControl w:val="0"/>
        <w:spacing w:line="1" w:lineRule="exact"/>
        <w:sectPr>
          <w:footerReference w:type="default" r:id="rId11"/>
          <w:footerReference w:type="first" r:id="rId12"/>
          <w:footnotePr>
            <w:pos w:val="pageBottom"/>
            <w:numFmt w:val="decimal"/>
            <w:numRestart w:val="continuous"/>
          </w:footnotePr>
          <w:pgSz w:w="8400" w:h="11900"/>
          <w:pgMar w:top="1233" w:right="410" w:bottom="814" w:left="967" w:header="0" w:footer="3" w:gutter="0"/>
          <w:pgNumType w:start="8"/>
          <w:cols w:space="720"/>
          <w:noEndnote/>
          <w:titlePg/>
          <w:rtlGutter w:val="0"/>
          <w:docGrid w:linePitch="360"/>
        </w:sectPr>
      </w:pPr>
    </w:p>
    <w:p>
      <w:pPr>
        <w:widowControl w:val="0"/>
        <w:spacing w:line="89" w:lineRule="exact"/>
        <w:rPr>
          <w:sz w:val="7"/>
          <w:szCs w:val="7"/>
        </w:rPr>
      </w:pPr>
    </w:p>
    <w:p>
      <w:pPr>
        <w:widowControl w:val="0"/>
        <w:spacing w:line="1" w:lineRule="exact"/>
        <w:sectPr>
          <w:footnotePr>
            <w:pos w:val="pageBottom"/>
            <w:numFmt w:val="decimal"/>
            <w:numRestart w:val="continuous"/>
          </w:footnotePr>
          <w:type w:val="continuous"/>
          <w:pgSz w:w="8400" w:h="11900"/>
          <w:pgMar w:top="1186" w:right="0" w:bottom="803" w:left="0" w:header="0" w:footer="3" w:gutter="0"/>
          <w:cols w:space="720"/>
          <w:noEndnote/>
          <w:rtlGutter w:val="0"/>
          <w:docGrid w:linePitch="360"/>
        </w:sectPr>
      </w:pPr>
    </w:p>
    <w:p>
      <w:pPr>
        <w:pStyle w:val="Style11"/>
        <w:keepNext/>
        <w:keepLines/>
        <w:widowControl w:val="0"/>
        <w:shd w:val="clear" w:color="auto" w:fill="auto"/>
        <w:bidi w:val="0"/>
        <w:spacing w:before="0" w:after="180" w:line="240" w:lineRule="auto"/>
        <w:ind w:left="0" w:right="0" w:firstLine="0"/>
        <w:jc w:val="center"/>
      </w:pPr>
      <w:bookmarkStart w:id="24" w:name="bookmark24"/>
      <w:r>
        <w:rPr>
          <w:color w:val="000000"/>
          <w:spacing w:val="0"/>
          <w:w w:val="100"/>
          <w:position w:val="0"/>
          <w:shd w:val="clear" w:color="auto" w:fill="auto"/>
          <w:lang w:val="ru-RU" w:eastAsia="ru-RU" w:bidi="ru-RU"/>
        </w:rPr>
        <w:t>ПРЕДПИСАНИЕ</w:t>
        <w:br/>
        <w:t>об устранении нарушений законодательства</w:t>
      </w:r>
      <w:bookmarkEnd w:id="24"/>
    </w:p>
    <w:p>
      <w:pPr>
        <w:pStyle w:val="Style13"/>
        <w:keepNext w:val="0"/>
        <w:keepLines w:val="0"/>
        <w:widowControl w:val="0"/>
        <w:shd w:val="clear" w:color="auto" w:fill="auto"/>
        <w:tabs>
          <w:tab w:pos="5290" w:val="left"/>
        </w:tabs>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объявлена 28.04.2023</w:t>
        <w:tab/>
        <w:t>г. Ханты-Мансийск</w:t>
      </w:r>
    </w:p>
    <w:p>
      <w:pPr>
        <w:pStyle w:val="Style13"/>
        <w:keepNext w:val="0"/>
        <w:keepLines w:val="0"/>
        <w:widowControl w:val="0"/>
        <w:shd w:val="clear" w:color="auto" w:fill="auto"/>
        <w:bidi w:val="0"/>
        <w:spacing w:before="0" w:after="180" w:line="240" w:lineRule="auto"/>
        <w:ind w:left="0" w:right="0" w:firstLine="0"/>
        <w:jc w:val="both"/>
      </w:pPr>
      <w:r>
        <w:rPr>
          <w:color w:val="000000"/>
          <w:spacing w:val="0"/>
          <w:w w:val="100"/>
          <w:position w:val="0"/>
          <w:shd w:val="clear" w:color="auto" w:fill="auto"/>
          <w:lang w:val="ru-RU" w:eastAsia="ru-RU" w:bidi="ru-RU"/>
        </w:rPr>
        <w:t>Изготовлено в полном объеме 04.05.2023</w:t>
      </w:r>
    </w:p>
    <w:p>
      <w:pPr>
        <w:pStyle w:val="Style13"/>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3"/>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numPr>
          <w:ilvl w:val="0"/>
          <w:numId w:val="5"/>
        </w:numPr>
        <w:shd w:val="clear" w:color="auto" w:fill="auto"/>
        <w:tabs>
          <w:tab w:pos="665"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3"/>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Членов комиссии:</w:t>
      </w:r>
    </w:p>
    <w:p>
      <w:pPr>
        <w:pStyle w:val="Style13"/>
        <w:keepNext w:val="0"/>
        <w:keepLines w:val="0"/>
        <w:widowControl w:val="0"/>
        <w:numPr>
          <w:ilvl w:val="0"/>
          <w:numId w:val="5"/>
        </w:numPr>
        <w:shd w:val="clear" w:color="auto" w:fill="auto"/>
        <w:tabs>
          <w:tab w:pos="665"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Мацола А.А. - Старший специалист 1 разряда отдела Управления;</w:t>
      </w:r>
    </w:p>
    <w:p>
      <w:pPr>
        <w:pStyle w:val="Style13"/>
        <w:keepNext w:val="0"/>
        <w:keepLines w:val="0"/>
        <w:widowControl w:val="0"/>
        <w:numPr>
          <w:ilvl w:val="0"/>
          <w:numId w:val="5"/>
        </w:numPr>
        <w:shd w:val="clear" w:color="auto" w:fill="auto"/>
        <w:tabs>
          <w:tab w:pos="665" w:val="left"/>
        </w:tabs>
        <w:bidi w:val="0"/>
        <w:spacing w:before="0" w:after="180" w:line="240" w:lineRule="auto"/>
        <w:ind w:left="0" w:right="0" w:firstLine="460"/>
        <w:jc w:val="both"/>
      </w:pPr>
      <w:r>
        <w:rPr>
          <w:color w:val="000000"/>
          <w:spacing w:val="0"/>
          <w:w w:val="100"/>
          <w:position w:val="0"/>
          <w:shd w:val="clear" w:color="auto" w:fill="auto"/>
          <w:lang w:val="ru-RU" w:eastAsia="ru-RU" w:bidi="ru-RU"/>
        </w:rPr>
        <w:t>Сафонов С.И. - Специалист-эксперт отдела Управления,</w:t>
      </w:r>
    </w:p>
    <w:p>
      <w:pPr>
        <w:pStyle w:val="Style13"/>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от Заявителя - посредством видеоконференц-связи Мурашова Л.В. по доверенности №89/2023 от 27.04.2023;</w:t>
      </w:r>
    </w:p>
    <w:p>
      <w:pPr>
        <w:pStyle w:val="Style13"/>
        <w:keepNext w:val="0"/>
        <w:keepLines w:val="0"/>
        <w:widowControl w:val="0"/>
        <w:shd w:val="clear" w:color="auto" w:fill="auto"/>
        <w:bidi w:val="0"/>
        <w:spacing w:before="0" w:after="180" w:line="240" w:lineRule="auto"/>
        <w:ind w:left="0" w:right="0" w:firstLine="480"/>
        <w:jc w:val="both"/>
      </w:pPr>
      <w:r>
        <w:rPr>
          <w:color w:val="000000"/>
          <w:spacing w:val="0"/>
          <w:w w:val="100"/>
          <w:position w:val="0"/>
          <w:shd w:val="clear" w:color="auto" w:fill="auto"/>
          <w:lang w:val="ru-RU" w:eastAsia="ru-RU" w:bidi="ru-RU"/>
        </w:rPr>
        <w:t>от Заказчика - посредством видеоконференц-связи отсутствовали, уведомлены надлежащим образом,</w:t>
      </w:r>
    </w:p>
    <w:p>
      <w:pPr>
        <w:pStyle w:val="Style13"/>
        <w:keepNext w:val="0"/>
        <w:keepLines w:val="0"/>
        <w:widowControl w:val="0"/>
        <w:shd w:val="clear" w:color="auto" w:fill="auto"/>
        <w:bidi w:val="0"/>
        <w:spacing w:before="0" w:after="260" w:line="240" w:lineRule="auto"/>
        <w:ind w:left="0" w:right="0" w:firstLine="480"/>
        <w:jc w:val="both"/>
      </w:pPr>
      <w:r>
        <w:rPr>
          <w:color w:val="000000"/>
          <w:spacing w:val="0"/>
          <w:w w:val="100"/>
          <w:position w:val="0"/>
          <w:shd w:val="clear" w:color="auto" w:fill="auto"/>
          <w:lang w:val="ru-RU" w:eastAsia="ru-RU" w:bidi="ru-RU"/>
        </w:rPr>
        <w:t>на основании своего решения от 28.04.2023 г. № 086/06/14-694/2023 о рассмотрении жалобы АО «ББ Труп» (ИНН: 1215228078; ОГРН: 1191215001735) от 25.04.2023 №4193/23, на действия Заказчика - Бюджетное учреждение Ханты-Мансийского автономного округа-Югры «Окружная клиническая больница», при проведении электронного аукциона, предметом которого является Поставка медицинских расходных материалов (извещение № 0387200002823000487) и в результате осуществления внеплановой проверки в соответствии с пунктом 1 части 15 статьи 99</w:t>
      </w:r>
    </w:p>
    <w:p>
      <w:pPr>
        <w:pStyle w:val="Style15"/>
        <w:keepNext/>
        <w:keepLines/>
        <w:widowControl w:val="0"/>
        <w:shd w:val="clear" w:color="auto" w:fill="auto"/>
        <w:bidi w:val="0"/>
        <w:spacing w:before="0" w:after="180" w:line="240" w:lineRule="auto"/>
        <w:ind w:left="0" w:right="0" w:firstLine="0"/>
        <w:jc w:val="left"/>
      </w:pPr>
      <w:bookmarkStart w:id="26" w:name="bookmark26"/>
      <w:r>
        <w:rPr>
          <w:color w:val="000000"/>
          <w:spacing w:val="0"/>
          <w:w w:val="100"/>
          <w:position w:val="0"/>
          <w:shd w:val="clear" w:color="auto" w:fill="auto"/>
          <w:lang w:val="ru-RU" w:eastAsia="ru-RU" w:bidi="ru-RU"/>
        </w:rPr>
        <w:t>111111111111111111111111</w:t>
      </w:r>
      <w:bookmarkEnd w:id="26"/>
      <w:r>
        <w:br w:type="page"/>
      </w:r>
    </w:p>
    <w:p>
      <w:pPr>
        <w:pStyle w:val="Style13"/>
        <w:keepNext w:val="0"/>
        <w:keepLines w:val="0"/>
        <w:widowControl w:val="0"/>
        <w:shd w:val="clear" w:color="auto" w:fill="auto"/>
        <w:bidi w:val="0"/>
        <w:spacing w:before="0" w:after="580" w:line="240" w:lineRule="auto"/>
        <w:ind w:left="0" w:right="0" w:firstLine="0"/>
        <w:jc w:val="both"/>
      </w:pPr>
      <w:r>
        <w:drawing>
          <wp:anchor distT="0" distB="0" distL="0" distR="0" simplePos="0" relativeHeight="62914699" behindDoc="1" locked="0" layoutInCell="1" allowOverlap="1">
            <wp:simplePos x="0" y="0"/>
            <wp:positionH relativeFrom="margin">
              <wp:posOffset>2377440</wp:posOffset>
            </wp:positionH>
            <wp:positionV relativeFrom="margin">
              <wp:posOffset>2446020</wp:posOffset>
            </wp:positionV>
            <wp:extent cx="1554480" cy="155448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1554480" cy="1554480"/>
                    </a:xfrm>
                    <a:prstGeom prst="rect"/>
                  </pic:spPr>
                </pic:pic>
              </a:graphicData>
            </a:graphic>
          </wp:anchor>
        </w:drawing>
      </w:r>
      <w:r>
        <w:rPr>
          <w:color w:val="000000"/>
          <w:spacing w:val="0"/>
          <w:w w:val="100"/>
          <w:position w:val="0"/>
          <w:shd w:val="clear" w:color="auto" w:fill="auto"/>
          <w:lang w:val="ru-RU" w:eastAsia="ru-RU" w:bidi="ru-RU"/>
        </w:rPr>
        <w:t>Федерального закона от 05.04.2013 И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11"/>
        <w:keepNext/>
        <w:keepLines/>
        <w:widowControl w:val="0"/>
        <w:shd w:val="clear" w:color="auto" w:fill="auto"/>
        <w:bidi w:val="0"/>
        <w:spacing w:before="0" w:after="200" w:line="240" w:lineRule="auto"/>
        <w:ind w:left="0" w:right="0" w:firstLine="0"/>
        <w:jc w:val="center"/>
      </w:pPr>
      <w:bookmarkStart w:id="28" w:name="bookmark28"/>
      <w:r>
        <w:rPr>
          <w:color w:val="000000"/>
          <w:spacing w:val="0"/>
          <w:w w:val="100"/>
          <w:position w:val="0"/>
          <w:shd w:val="clear" w:color="auto" w:fill="auto"/>
          <w:lang w:val="ru-RU" w:eastAsia="ru-RU" w:bidi="ru-RU"/>
        </w:rPr>
        <w:t>ПРЕДПИСЫВАЕТ:</w:t>
      </w:r>
      <w:bookmarkEnd w:id="28"/>
    </w:p>
    <w:p>
      <w:pPr>
        <w:pStyle w:val="Style13"/>
        <w:keepNext w:val="0"/>
        <w:keepLines w:val="0"/>
        <w:widowControl w:val="0"/>
        <w:shd w:val="clear" w:color="auto" w:fill="auto"/>
        <w:bidi w:val="0"/>
        <w:spacing w:before="0" w:after="0" w:line="240" w:lineRule="auto"/>
        <w:ind w:left="0" w:right="0" w:firstLine="500"/>
        <w:jc w:val="both"/>
      </w:pPr>
      <w:r>
        <w:rPr>
          <w:color w:val="000000"/>
          <w:spacing w:val="0"/>
          <w:w w:val="100"/>
          <w:position w:val="0"/>
          <w:shd w:val="clear" w:color="auto" w:fill="auto"/>
          <w:lang w:val="ru-RU" w:eastAsia="ru-RU" w:bidi="ru-RU"/>
        </w:rPr>
        <w:t>В целях устранения нарушений законодательства о контрактной системе Заказчику - Бюджетному учреждению Ханты-Мансийского автономного округа-Югры «Окружная клиническая больница» совершить следующие действия:</w:t>
      </w:r>
    </w:p>
    <w:p>
      <w:pPr>
        <w:pStyle w:val="Style13"/>
        <w:keepNext w:val="0"/>
        <w:keepLines w:val="0"/>
        <w:widowControl w:val="0"/>
        <w:numPr>
          <w:ilvl w:val="0"/>
          <w:numId w:val="7"/>
        </w:numPr>
        <w:shd w:val="clear" w:color="auto" w:fill="auto"/>
        <w:tabs>
          <w:tab w:pos="74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Отменить протокол подведения итогов при проведении закупки, которого является Поставка медицинских расходных материалов (извещение № 0387200002823000487), внести изменения в документацию согласно решению 086/06/14-694/2023 от 28.04.2023г., продолжить закупку согласно потребности.</w:t>
      </w:r>
    </w:p>
    <w:p>
      <w:pPr>
        <w:pStyle w:val="Style13"/>
        <w:keepNext w:val="0"/>
        <w:keepLines w:val="0"/>
        <w:widowControl w:val="0"/>
        <w:numPr>
          <w:ilvl w:val="0"/>
          <w:numId w:val="7"/>
        </w:numPr>
        <w:shd w:val="clear" w:color="auto" w:fill="auto"/>
        <w:tabs>
          <w:tab w:pos="121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Исполнить предписание в срок до 19.05.2023 г.</w:t>
      </w:r>
    </w:p>
    <w:p>
      <w:pPr>
        <w:pStyle w:val="Style13"/>
        <w:keepNext w:val="0"/>
        <w:keepLines w:val="0"/>
        <w:widowControl w:val="0"/>
        <w:numPr>
          <w:ilvl w:val="0"/>
          <w:numId w:val="7"/>
        </w:numPr>
        <w:shd w:val="clear" w:color="auto" w:fill="auto"/>
        <w:tabs>
          <w:tab w:pos="745" w:val="left"/>
        </w:tabs>
        <w:bidi w:val="0"/>
        <w:spacing w:before="0" w:after="0" w:line="240" w:lineRule="auto"/>
        <w:ind w:left="0" w:right="0" w:firstLine="500"/>
        <w:jc w:val="both"/>
      </w:pPr>
      <w:r>
        <w:rPr>
          <w:color w:val="000000"/>
          <w:spacing w:val="0"/>
          <w:w w:val="100"/>
          <w:position w:val="0"/>
          <w:shd w:val="clear" w:color="auto" w:fill="auto"/>
          <w:lang w:val="ru-RU" w:eastAsia="ru-RU" w:bidi="ru-RU"/>
        </w:rPr>
        <w:t>В срок до 19.05.2023 г.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color w:val="000000"/>
          <w:spacing w:val="0"/>
          <w:w w:val="100"/>
          <w:position w:val="0"/>
          <w:u w:val="single"/>
          <w:shd w:val="clear" w:color="auto" w:fill="auto"/>
          <w:lang w:val="ru-RU" w:eastAsia="ru-RU" w:bidi="ru-RU"/>
        </w:rPr>
        <w:t>документы могут быть в электронном виде</w:t>
      </w:r>
      <w:r>
        <w:rPr>
          <w:color w:val="000000"/>
          <w:spacing w:val="0"/>
          <w:w w:val="100"/>
          <w:position w:val="0"/>
          <w:shd w:val="clear" w:color="auto" w:fill="auto"/>
          <w:lang w:val="ru-RU" w:eastAsia="ru-RU" w:bidi="ru-RU"/>
        </w:rPr>
        <w:t>).</w:t>
      </w:r>
    </w:p>
    <w:p>
      <w:pPr>
        <w:pStyle w:val="Style13"/>
        <w:keepNext w:val="0"/>
        <w:keepLines w:val="0"/>
        <w:widowControl w:val="0"/>
        <w:numPr>
          <w:ilvl w:val="0"/>
          <w:numId w:val="7"/>
        </w:numPr>
        <w:shd w:val="clear" w:color="auto" w:fill="auto"/>
        <w:tabs>
          <w:tab w:pos="740" w:val="left"/>
        </w:tabs>
        <w:bidi w:val="0"/>
        <w:spacing w:before="0" w:after="580" w:line="240" w:lineRule="auto"/>
        <w:ind w:left="0" w:right="0" w:firstLine="500"/>
        <w:jc w:val="both"/>
      </w:pPr>
      <w:r>
        <w:rPr>
          <w:color w:val="000000"/>
          <w:spacing w:val="0"/>
          <w:w w:val="100"/>
          <w:position w:val="0"/>
          <w:shd w:val="clear" w:color="auto" w:fill="auto"/>
          <w:lang w:val="ru-RU" w:eastAsia="ru-RU" w:bidi="ru-RU"/>
        </w:rPr>
        <w:t>Официальному сайту тухуте.хакиркгеоу.ги и оператору электронной площадки обеспечить исполнение Заказчиком пункта 1 настоящего предписания.</w:t>
      </w:r>
    </w:p>
    <w:p>
      <w:pPr>
        <w:pStyle w:val="Style13"/>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3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240" w:line="240" w:lineRule="auto"/>
        <w:ind w:left="0" w:right="360" w:firstLine="0"/>
        <w:jc w:val="right"/>
      </w:pPr>
      <w:r>
        <mc:AlternateContent>
          <mc:Choice Requires="wps">
            <w:drawing>
              <wp:anchor distT="0" distB="353695" distL="117475" distR="113665" simplePos="0" relativeHeight="125829384" behindDoc="0" locked="0" layoutInCell="1" allowOverlap="1">
                <wp:simplePos x="0" y="0"/>
                <wp:positionH relativeFrom="page">
                  <wp:posOffset>4115435</wp:posOffset>
                </wp:positionH>
                <wp:positionV relativeFrom="margin">
                  <wp:posOffset>2921635</wp:posOffset>
                </wp:positionV>
                <wp:extent cx="783590" cy="133985"/>
                <wp:wrapSquare wrapText="left"/>
                <wp:docPr id="19" name="Shape 19"/>
                <a:graphic xmlns:a="http://schemas.openxmlformats.org/drawingml/2006/main">
                  <a:graphicData uri="http://schemas.microsoft.com/office/word/2010/wordprocessingShape">
                    <wps:wsp>
                      <wps:cNvSpPr txBox="1"/>
                      <wps:spPr>
                        <a:xfrm>
                          <a:ext cx="783590" cy="1339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wps:txbx>
                      <wps:bodyPr wrap="none" lIns="0" tIns="0" rIns="0" bIns="0">
                        <a:noAutoFit/>
                      </wps:bodyPr>
                    </wps:wsp>
                  </a:graphicData>
                </a:graphic>
              </wp:anchor>
            </w:drawing>
          </mc:Choice>
          <mc:Fallback>
            <w:pict>
              <v:shape id="_x0000_s1045" type="#_x0000_t202" style="position:absolute;margin-left:324.05000000000001pt;margin-top:230.05000000000001pt;width:61.700000000000003pt;height:10.550000000000001pt;z-index:-125829369;mso-wrap-distance-left:9.25pt;mso-wrap-distance-right:8.9500000000000011pt;mso-wrap-distance-bottom:27.850000000000001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Е.А. Андрейцева</w:t>
                      </w:r>
                    </w:p>
                  </w:txbxContent>
                </v:textbox>
                <w10:wrap type="square" side="left" anchorx="page" anchory="margin"/>
              </v:shape>
            </w:pict>
          </mc:Fallback>
        </mc:AlternateContent>
      </w:r>
      <w:r>
        <mc:AlternateContent>
          <mc:Choice Requires="wps">
            <w:drawing>
              <wp:anchor distT="359410" distB="0" distL="114300" distR="297180" simplePos="0" relativeHeight="125829386" behindDoc="0" locked="0" layoutInCell="1" allowOverlap="1">
                <wp:simplePos x="0" y="0"/>
                <wp:positionH relativeFrom="page">
                  <wp:posOffset>4112260</wp:posOffset>
                </wp:positionH>
                <wp:positionV relativeFrom="margin">
                  <wp:posOffset>3281045</wp:posOffset>
                </wp:positionV>
                <wp:extent cx="603250" cy="128270"/>
                <wp:wrapSquare wrapText="left"/>
                <wp:docPr id="21" name="Shape 21"/>
                <a:graphic xmlns:a="http://schemas.openxmlformats.org/drawingml/2006/main">
                  <a:graphicData uri="http://schemas.microsoft.com/office/word/2010/wordprocessingShape">
                    <wps:wsp>
                      <wps:cNvSpPr txBox="1"/>
                      <wps:spPr>
                        <a:xfrm>
                          <a:ext cx="603250"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А.А. Мацола</w:t>
                            </w:r>
                          </w:p>
                        </w:txbxContent>
                      </wps:txbx>
                      <wps:bodyPr wrap="none" lIns="0" tIns="0" rIns="0" bIns="0">
                        <a:noAutoFit/>
                      </wps:bodyPr>
                    </wps:wsp>
                  </a:graphicData>
                </a:graphic>
              </wp:anchor>
            </w:drawing>
          </mc:Choice>
          <mc:Fallback>
            <w:pict>
              <v:shape id="_x0000_s1047" type="#_x0000_t202" style="position:absolute;margin-left:323.80000000000001pt;margin-top:258.35000000000002pt;width:47.5pt;height:10.1pt;z-index:-125829367;mso-wrap-distance-left:9.pt;mso-wrap-distance-top:28.300000000000001pt;mso-wrap-distance-right:23.400000000000002pt;mso-position-horizontal-relative:page;mso-position-vertical-relative:margin" filled="f" stroked="f">
                <v:textbox inset="0,0,0,0">
                  <w:txbxContent>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А.А. Мацола</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С.И. Сафонов</w:t>
      </w:r>
    </w:p>
    <w:p>
      <w:pPr>
        <w:pStyle w:val="Style6"/>
        <w:keepNext w:val="0"/>
        <w:keepLines w:val="0"/>
        <w:widowControl w:val="0"/>
        <w:shd w:val="clear" w:color="auto" w:fill="auto"/>
        <w:bidi w:val="0"/>
        <w:spacing w:before="0" w:after="0" w:line="341" w:lineRule="auto"/>
        <w:ind w:left="0" w:right="0" w:firstLine="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pgSz w:w="8400" w:h="11900"/>
      <w:pgMar w:top="1186" w:right="556" w:bottom="803" w:left="7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530860</wp:posOffset>
              </wp:positionH>
              <wp:positionV relativeFrom="page">
                <wp:posOffset>7138035</wp:posOffset>
              </wp:positionV>
              <wp:extent cx="448310" cy="76200"/>
              <wp:wrapNone/>
              <wp:docPr id="3" name="Shape 3"/>
              <a:graphic xmlns:a="http://schemas.openxmlformats.org/drawingml/2006/main">
                <a:graphicData uri="http://schemas.microsoft.com/office/word/2010/wordprocessingShape">
                  <wps:wsp>
                    <wps:cNvSpPr txBox="1"/>
                    <wps:spPr>
                      <a:xfrm>
                        <a:ext cx="448310" cy="762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2023-3304</w:t>
                          </w:r>
                        </w:p>
                      </w:txbxContent>
                    </wps:txbx>
                    <wps:bodyPr wrap="none" lIns="0" tIns="0" rIns="0" bIns="0">
                      <a:spAutoFit/>
                    </wps:bodyPr>
                  </wps:wsp>
                </a:graphicData>
              </a:graphic>
            </wp:anchor>
          </w:drawing>
        </mc:Choice>
        <mc:Fallback>
          <w:pict>
            <v:shape id="_x0000_s1029" type="#_x0000_t202" style="position:absolute;margin-left:41.800000000000004pt;margin-top:562.05000000000007pt;width:35.300000000000004pt;height:6.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2023-3304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530860</wp:posOffset>
              </wp:positionH>
              <wp:positionV relativeFrom="page">
                <wp:posOffset>7138035</wp:posOffset>
              </wp:positionV>
              <wp:extent cx="448310" cy="76200"/>
              <wp:wrapNone/>
              <wp:docPr id="11" name="Shape 11"/>
              <a:graphic xmlns:a="http://schemas.openxmlformats.org/drawingml/2006/main">
                <a:graphicData uri="http://schemas.microsoft.com/office/word/2010/wordprocessingShape">
                  <wps:wsp>
                    <wps:cNvSpPr txBox="1"/>
                    <wps:spPr>
                      <a:xfrm>
                        <a:ext cx="448310" cy="762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2023-3304</w:t>
                          </w:r>
                        </w:p>
                      </w:txbxContent>
                    </wps:txbx>
                    <wps:bodyPr wrap="none" lIns="0" tIns="0" rIns="0" bIns="0">
                      <a:spAutoFit/>
                    </wps:bodyPr>
                  </wps:wsp>
                </a:graphicData>
              </a:graphic>
            </wp:anchor>
          </w:drawing>
        </mc:Choice>
        <mc:Fallback>
          <w:pict>
            <v:shape id="_x0000_s1037" type="#_x0000_t202" style="position:absolute;margin-left:41.800000000000004pt;margin-top:562.05000000000007pt;width:35.300000000000004pt;height:6.pt;z-index:-188744060;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2023-3304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554990</wp:posOffset>
              </wp:positionH>
              <wp:positionV relativeFrom="page">
                <wp:posOffset>7110095</wp:posOffset>
              </wp:positionV>
              <wp:extent cx="438785" cy="79375"/>
              <wp:wrapNone/>
              <wp:docPr id="13" name="Shape 13"/>
              <a:graphic xmlns:a="http://schemas.openxmlformats.org/drawingml/2006/main">
                <a:graphicData uri="http://schemas.microsoft.com/office/word/2010/wordprocessingShape">
                  <wps:wsp>
                    <wps:cNvSpPr txBox="1"/>
                    <wps:spPr>
                      <a:xfrm>
                        <a:ext cx="438785" cy="793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2023-3311</w:t>
                          </w:r>
                        </w:p>
                      </w:txbxContent>
                    </wps:txbx>
                    <wps:bodyPr wrap="none" lIns="0" tIns="0" rIns="0" bIns="0">
                      <a:spAutoFit/>
                    </wps:bodyPr>
                  </wps:wsp>
                </a:graphicData>
              </a:graphic>
            </wp:anchor>
          </w:drawing>
        </mc:Choice>
        <mc:Fallback>
          <w:pict>
            <v:shape id="_x0000_s1039" type="#_x0000_t202" style="position:absolute;margin-left:43.700000000000003pt;margin-top:559.85000000000002pt;width:34.550000000000004pt;height:6.25pt;z-index:-188744058;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2023-3311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638810</wp:posOffset>
              </wp:positionH>
              <wp:positionV relativeFrom="page">
                <wp:posOffset>6976110</wp:posOffset>
              </wp:positionV>
              <wp:extent cx="433070" cy="76200"/>
              <wp:wrapNone/>
              <wp:docPr id="15" name="Shape 15"/>
              <a:graphic xmlns:a="http://schemas.openxmlformats.org/drawingml/2006/main">
                <a:graphicData uri="http://schemas.microsoft.com/office/word/2010/wordprocessingShape">
                  <wps:wsp>
                    <wps:cNvSpPr txBox="1"/>
                    <wps:spPr>
                      <a:xfrm>
                        <a:ext cx="433070" cy="762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2023-3311</w:t>
                          </w:r>
                        </w:p>
                      </w:txbxContent>
                    </wps:txbx>
                    <wps:bodyPr wrap="none" lIns="0" tIns="0" rIns="0" bIns="0">
                      <a:spAutoFit/>
                    </wps:bodyPr>
                  </wps:wsp>
                </a:graphicData>
              </a:graphic>
            </wp:anchor>
          </w:drawing>
        </mc:Choice>
        <mc:Fallback>
          <w:pict>
            <v:shape id="_x0000_s1041" type="#_x0000_t202" style="position:absolute;margin-left:50.300000000000004pt;margin-top:549.30000000000007pt;width:34.100000000000001pt;height:6.pt;z-index:-188744056;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2023-3311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sz w:val="13"/>
      <w:szCs w:val="13"/>
      <w:u w:val="none"/>
    </w:rPr>
  </w:style>
  <w:style w:type="character" w:customStyle="1" w:styleId="CharStyle7">
    <w:name w:val="Основной текст (2)_"/>
    <w:basedOn w:val="DefaultParagraphFont"/>
    <w:link w:val="Style6"/>
    <w:rPr>
      <w:rFonts w:ascii="Times New Roman" w:eastAsia="Times New Roman" w:hAnsi="Times New Roman" w:cs="Times New Roman"/>
      <w:b/>
      <w:bCs/>
      <w:i/>
      <w:iCs/>
      <w:smallCaps w:val="0"/>
      <w:strike w:val="0"/>
      <w:sz w:val="10"/>
      <w:szCs w:val="10"/>
      <w:u w:val="none"/>
    </w:rPr>
  </w:style>
  <w:style w:type="character" w:customStyle="1" w:styleId="CharStyle12">
    <w:name w:val="Заголовок №3_"/>
    <w:basedOn w:val="DefaultParagraphFont"/>
    <w:link w:val="Style11"/>
    <w:rPr>
      <w:rFonts w:ascii="Times New Roman" w:eastAsia="Times New Roman" w:hAnsi="Times New Roman" w:cs="Times New Roman"/>
      <w:b/>
      <w:bCs/>
      <w:i w:val="0"/>
      <w:iCs w:val="0"/>
      <w:smallCaps w:val="0"/>
      <w:strike w:val="0"/>
      <w:sz w:val="16"/>
      <w:szCs w:val="16"/>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16"/>
      <w:szCs w:val="16"/>
      <w:u w:val="none"/>
    </w:rPr>
  </w:style>
  <w:style w:type="character" w:customStyle="1" w:styleId="CharStyle16">
    <w:name w:val="Заголовок №2_"/>
    <w:basedOn w:val="DefaultParagraphFont"/>
    <w:link w:val="Style15"/>
    <w:rPr>
      <w:rFonts w:ascii="Arial" w:eastAsia="Arial" w:hAnsi="Arial" w:cs="Arial"/>
      <w:b w:val="0"/>
      <w:bCs w:val="0"/>
      <w:i w:val="0"/>
      <w:iCs w:val="0"/>
      <w:smallCaps w:val="0"/>
      <w:strike w:val="0"/>
      <w:sz w:val="30"/>
      <w:szCs w:val="30"/>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Подпись к таблице_"/>
    <w:basedOn w:val="DefaultParagraphFont"/>
    <w:link w:val="Style20"/>
    <w:rPr>
      <w:rFonts w:ascii="Times New Roman" w:eastAsia="Times New Roman" w:hAnsi="Times New Roman" w:cs="Times New Roman"/>
      <w:b w:val="0"/>
      <w:bCs w:val="0"/>
      <w:i w:val="0"/>
      <w:iCs w:val="0"/>
      <w:smallCaps w:val="0"/>
      <w:strike w:val="0"/>
      <w:sz w:val="16"/>
      <w:szCs w:val="16"/>
      <w:u w:val="none"/>
    </w:rPr>
  </w:style>
  <w:style w:type="character" w:customStyle="1" w:styleId="CharStyle23">
    <w:name w:val="Другое_"/>
    <w:basedOn w:val="DefaultParagraphFont"/>
    <w:link w:val="Style22"/>
    <w:rPr>
      <w:rFonts w:ascii="Times New Roman" w:eastAsia="Times New Roman" w:hAnsi="Times New Roman" w:cs="Times New Roman"/>
      <w:b w:val="0"/>
      <w:bCs w:val="0"/>
      <w:i w:val="0"/>
      <w:iCs w:val="0"/>
      <w:smallCaps w:val="0"/>
      <w:strike w:val="0"/>
      <w:sz w:val="16"/>
      <w:szCs w:val="16"/>
      <w:u w:val="none"/>
    </w:rPr>
  </w:style>
  <w:style w:type="character" w:customStyle="1" w:styleId="CharStyle28">
    <w:name w:val="Основной текст (4)_"/>
    <w:basedOn w:val="DefaultParagraphFont"/>
    <w:link w:val="Style27"/>
    <w:rPr>
      <w:rFonts w:ascii="Times New Roman" w:eastAsia="Times New Roman" w:hAnsi="Times New Roman" w:cs="Times New Roman"/>
      <w:b w:val="0"/>
      <w:bCs w:val="0"/>
      <w:i w:val="0"/>
      <w:iCs w:val="0"/>
      <w:smallCaps w:val="0"/>
      <w:strike w:val="0"/>
      <w:sz w:val="9"/>
      <w:szCs w:val="9"/>
      <w:u w:val="none"/>
    </w:rPr>
  </w:style>
  <w:style w:type="character" w:customStyle="1" w:styleId="CharStyle30">
    <w:name w:val="Заголовок №1_"/>
    <w:basedOn w:val="DefaultParagraphFont"/>
    <w:link w:val="Style29"/>
    <w:rPr>
      <w:b w:val="0"/>
      <w:bCs w:val="0"/>
      <w:i w:val="0"/>
      <w:iCs w:val="0"/>
      <w:smallCaps w:val="0"/>
      <w:strike w:val="0"/>
      <w:sz w:val="36"/>
      <w:szCs w:val="36"/>
      <w:u w:val="single"/>
    </w:rPr>
  </w:style>
  <w:style w:type="paragraph" w:customStyle="1" w:styleId="Style2">
    <w:name w:val="Основной текст (3)"/>
    <w:basedOn w:val="Normal"/>
    <w:link w:val="CharStyle3"/>
    <w:pPr>
      <w:widowControl w:val="0"/>
      <w:shd w:val="clear" w:color="auto" w:fill="auto"/>
      <w:spacing w:line="262" w:lineRule="auto"/>
      <w:jc w:val="center"/>
    </w:pPr>
    <w:rPr>
      <w:rFonts w:ascii="Times New Roman" w:eastAsia="Times New Roman" w:hAnsi="Times New Roman" w:cs="Times New Roman"/>
      <w:b w:val="0"/>
      <w:bCs w:val="0"/>
      <w:i w:val="0"/>
      <w:iCs w:val="0"/>
      <w:smallCaps w:val="0"/>
      <w:strike w:val="0"/>
      <w:sz w:val="13"/>
      <w:szCs w:val="13"/>
      <w:u w:val="none"/>
    </w:rPr>
  </w:style>
  <w:style w:type="paragraph" w:customStyle="1" w:styleId="Style6">
    <w:name w:val="Основной текст (2)"/>
    <w:basedOn w:val="Normal"/>
    <w:link w:val="CharStyle7"/>
    <w:pPr>
      <w:widowControl w:val="0"/>
      <w:shd w:val="clear" w:color="auto" w:fill="auto"/>
      <w:spacing w:after="20" w:line="307" w:lineRule="auto"/>
    </w:pPr>
    <w:rPr>
      <w:rFonts w:ascii="Times New Roman" w:eastAsia="Times New Roman" w:hAnsi="Times New Roman" w:cs="Times New Roman"/>
      <w:b/>
      <w:bCs/>
      <w:i/>
      <w:iCs/>
      <w:smallCaps w:val="0"/>
      <w:strike w:val="0"/>
      <w:sz w:val="10"/>
      <w:szCs w:val="10"/>
      <w:u w:val="none"/>
    </w:rPr>
  </w:style>
  <w:style w:type="paragraph" w:customStyle="1" w:styleId="Style11">
    <w:name w:val="Заголовок №3"/>
    <w:basedOn w:val="Normal"/>
    <w:link w:val="CharStyle12"/>
    <w:pPr>
      <w:widowControl w:val="0"/>
      <w:shd w:val="clear" w:color="auto" w:fill="auto"/>
      <w:outlineLvl w:val="2"/>
    </w:pPr>
    <w:rPr>
      <w:rFonts w:ascii="Times New Roman" w:eastAsia="Times New Roman" w:hAnsi="Times New Roman" w:cs="Times New Roman"/>
      <w:b/>
      <w:bCs/>
      <w:i w:val="0"/>
      <w:iCs w:val="0"/>
      <w:smallCaps w:val="0"/>
      <w:strike w:val="0"/>
      <w:sz w:val="16"/>
      <w:szCs w:val="16"/>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15">
    <w:name w:val="Заголовок №2"/>
    <w:basedOn w:val="Normal"/>
    <w:link w:val="CharStyle16"/>
    <w:pPr>
      <w:widowControl w:val="0"/>
      <w:shd w:val="clear" w:color="auto" w:fill="auto"/>
      <w:spacing w:after="90"/>
      <w:outlineLvl w:val="1"/>
    </w:pPr>
    <w:rPr>
      <w:rFonts w:ascii="Arial" w:eastAsia="Arial" w:hAnsi="Arial" w:cs="Arial"/>
      <w:b w:val="0"/>
      <w:bCs w:val="0"/>
      <w:i w:val="0"/>
      <w:iCs w:val="0"/>
      <w:smallCaps w:val="0"/>
      <w:strike w:val="0"/>
      <w:sz w:val="30"/>
      <w:szCs w:val="30"/>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Подпись к таблице"/>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16"/>
      <w:szCs w:val="16"/>
      <w:u w:val="none"/>
    </w:rPr>
  </w:style>
  <w:style w:type="paragraph" w:customStyle="1" w:styleId="Style22">
    <w:name w:val="Другое"/>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sz w:val="16"/>
      <w:szCs w:val="16"/>
      <w:u w:val="none"/>
    </w:rPr>
  </w:style>
  <w:style w:type="paragraph" w:customStyle="1" w:styleId="Style27">
    <w:name w:val="Основной текст (4)"/>
    <w:basedOn w:val="Normal"/>
    <w:link w:val="CharStyle28"/>
    <w:pPr>
      <w:widowControl w:val="0"/>
      <w:shd w:val="clear" w:color="auto" w:fill="auto"/>
      <w:spacing w:after="20"/>
      <w:jc w:val="center"/>
    </w:pPr>
    <w:rPr>
      <w:rFonts w:ascii="Times New Roman" w:eastAsia="Times New Roman" w:hAnsi="Times New Roman" w:cs="Times New Roman"/>
      <w:b w:val="0"/>
      <w:bCs w:val="0"/>
      <w:i w:val="0"/>
      <w:iCs w:val="0"/>
      <w:smallCaps w:val="0"/>
      <w:strike w:val="0"/>
      <w:sz w:val="9"/>
      <w:szCs w:val="9"/>
      <w:u w:val="none"/>
    </w:rPr>
  </w:style>
  <w:style w:type="paragraph" w:customStyle="1" w:styleId="Style29">
    <w:name w:val="Заголовок №1"/>
    <w:basedOn w:val="Normal"/>
    <w:link w:val="CharStyle30"/>
    <w:pPr>
      <w:widowControl w:val="0"/>
      <w:shd w:val="clear" w:color="auto" w:fill="auto"/>
      <w:outlineLvl w:val="0"/>
    </w:pPr>
    <w:rPr>
      <w:b w:val="0"/>
      <w:bCs w:val="0"/>
      <w:i w:val="0"/>
      <w:iCs w:val="0"/>
      <w:smallCaps w:val="0"/>
      <w:strike w:val="0"/>
      <w:sz w:val="36"/>
      <w:szCs w:val="36"/>
      <w:u w:val="singl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 Id="rId9" Type="http://schemas.openxmlformats.org/officeDocument/2006/relationships/image" Target="media/image1.png" TargetMode="Externa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image" Target="media/image2.png"/><Relationship Id="rId14" Type="http://schemas.openxmlformats.org/officeDocument/2006/relationships/image" Target="media/image2.png" TargetMode="External"/></Relationships>
</file>