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after="12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color w:val="4561A2"/>
          <w:spacing w:val="0"/>
          <w:w w:val="100"/>
          <w:position w:val="0"/>
          <w:shd w:val="clear" w:color="auto" w:fill="auto"/>
          <w:lang w:val="ru-RU" w:eastAsia="ru-RU" w:bidi="ru-RU"/>
        </w:rPr>
        <w:t>УПРАВЛЕНИЕ</w:t>
        <w:br/>
        <w:t>Федеральной антимонопольной службы</w:t>
        <w:br/>
        <w:t>по Ростовской области</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пр. Ворошиловский, 2/2, офис 403</w:t>
      </w:r>
    </w:p>
    <w:p>
      <w:pPr>
        <w:pStyle w:val="Style2"/>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г. Ростов-на-Дону, 344006</w:t>
        <w:br/>
        <w:t>тел. (863) 263-31-04, факс (863) 240-99-59</w:t>
        <w:br/>
        <w:t xml:space="preserve">е-тай: </w:t>
      </w:r>
      <w:r>
        <w:rPr>
          <w:smallCaps/>
          <w:spacing w:val="0"/>
          <w:w w:val="100"/>
          <w:position w:val="0"/>
          <w:shd w:val="clear" w:color="auto" w:fill="auto"/>
          <w:lang w:val="ru-RU" w:eastAsia="ru-RU" w:bidi="ru-RU"/>
        </w:rPr>
        <w:t>1о61@Й8.§оу.П1</w:t>
      </w:r>
    </w:p>
    <w:p>
      <w:pPr>
        <w:pStyle w:val="Style12"/>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4,05.2023</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ТА/7153/2</w:t>
      </w:r>
      <w:r>
        <w:rPr>
          <w:color w:val="000000"/>
          <w:spacing w:val="0"/>
          <w:w w:val="100"/>
          <w:position w:val="0"/>
          <w:u w:val="none"/>
          <w:shd w:val="clear" w:color="auto" w:fill="auto"/>
          <w:lang w:val="ru-RU" w:eastAsia="ru-RU" w:bidi="ru-RU"/>
        </w:rPr>
        <w:t>3</w:t>
      </w:r>
      <w:bookmarkEnd w:id="0"/>
    </w:p>
    <w:p>
      <w:pPr>
        <w:pStyle w:val="Style15"/>
        <w:keepNext w:val="0"/>
        <w:keepLines w:val="0"/>
        <w:widowControl w:val="0"/>
        <w:shd w:val="clear" w:color="auto" w:fill="auto"/>
        <w:bidi w:val="0"/>
        <w:spacing w:before="0" w:after="0" w:line="264" w:lineRule="auto"/>
        <w:ind w:left="0" w:right="0" w:firstLine="0"/>
        <w:jc w:val="center"/>
      </w:pPr>
      <w:r>
        <w:rPr>
          <w:color w:val="4561A2"/>
          <w:spacing w:val="0"/>
          <w:w w:val="100"/>
          <w:position w:val="0"/>
          <w:shd w:val="clear" w:color="auto" w:fill="auto"/>
          <w:lang w:val="ru-RU" w:eastAsia="ru-RU" w:bidi="ru-RU"/>
        </w:rPr>
        <w:t xml:space="preserve">На№  от</w:t>
      </w:r>
    </w:p>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Общество с ограниченной ответственностью «АПгрейт» (далее - Заявитель)</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Станиславского, 167/25, оф. 602, г. Ростов- на-Дону, 344022</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азд45б№х96@уапдех.ш</w:t>
      </w:r>
    </w:p>
    <w:p>
      <w:pPr>
        <w:pStyle w:val="Style18"/>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+7(928)6077710</w:t>
      </w:r>
    </w:p>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Государственное бюджетное учреждение Ростовской области «Консультативно</w:t>
        <w:softHyphen/>
        <w:t>диагностический центр в г. Таганроге» (далее - Заказчик)</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Дзержинского, 156, г. Таганрог, Ростовская обл., 347924</w:t>
      </w:r>
    </w:p>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ЕтаП: Ыс1ад@Ыс1ад.ш</w:t>
      </w:r>
    </w:p>
    <w:p>
      <w:pPr>
        <w:pStyle w:val="Style18"/>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Телефон: 7-8634-605389</w:t>
      </w:r>
    </w:p>
    <w:p>
      <w:pPr>
        <w:pStyle w:val="Style18"/>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 (далее - Оператор электронной площадки)</w:t>
      </w:r>
    </w:p>
    <w:p>
      <w:pPr>
        <w:pStyle w:val="Style18"/>
        <w:keepNext w:val="0"/>
        <w:keepLines w:val="0"/>
        <w:widowControl w:val="0"/>
        <w:shd w:val="clear" w:color="auto" w:fill="auto"/>
        <w:bidi w:val="0"/>
        <w:spacing w:before="0" w:after="0" w:line="240" w:lineRule="auto"/>
        <w:ind w:left="0" w:right="0" w:firstLine="0"/>
        <w:jc w:val="left"/>
        <w:sectPr>
          <w:footerReference w:type="default" r:id="rId5"/>
          <w:footnotePr>
            <w:pos w:val="pageBottom"/>
            <w:numFmt w:val="decimal"/>
            <w:numRestart w:val="continuous"/>
          </w:footnotePr>
          <w:pgSz w:w="11900" w:h="16840"/>
          <w:pgMar w:top="1162" w:right="704" w:bottom="799" w:left="1140" w:header="734" w:footer="3" w:gutter="0"/>
          <w:pgNumType w:start="1"/>
          <w:cols w:num="2" w:space="720" w:equalWidth="0">
            <w:col w:w="4176" w:space="1090"/>
            <w:col w:w="4790"/>
          </w:cols>
          <w:noEndnote/>
          <w:rtlGutter w:val="0"/>
          <w:docGrid w:linePitch="360"/>
        </w:sectPr>
      </w:pPr>
      <w:r>
        <w:rPr>
          <w:color w:val="000000"/>
          <w:spacing w:val="0"/>
          <w:w w:val="100"/>
          <w:position w:val="0"/>
          <w:sz w:val="24"/>
          <w:szCs w:val="24"/>
          <w:shd w:val="clear" w:color="auto" w:fill="auto"/>
          <w:lang w:val="ru-RU" w:eastAsia="ru-RU" w:bidi="ru-RU"/>
        </w:rPr>
        <w:t>ко@118-1епдег.ш</w:t>
      </w:r>
    </w:p>
    <w:p>
      <w:pPr>
        <w:widowControl w:val="0"/>
        <w:spacing w:line="156" w:lineRule="exact"/>
        <w:rPr>
          <w:sz w:val="12"/>
          <w:szCs w:val="12"/>
        </w:rPr>
      </w:pPr>
    </w:p>
    <w:p>
      <w:pPr>
        <w:widowControl w:val="0"/>
        <w:spacing w:line="1" w:lineRule="exact"/>
        <w:sectPr>
          <w:footnotePr>
            <w:pos w:val="pageBottom"/>
            <w:numFmt w:val="decimal"/>
            <w:numRestart w:val="continuous"/>
          </w:footnotePr>
          <w:type w:val="continuous"/>
          <w:pgSz w:w="11900" w:h="16840"/>
          <w:pgMar w:top="1043" w:right="0" w:bottom="914" w:left="0" w:header="0" w:footer="3" w:gutter="0"/>
          <w:cols w:space="720"/>
          <w:noEndnote/>
          <w:rtlGutter w:val="0"/>
          <w:docGrid w:linePitch="360"/>
        </w:sectPr>
      </w:pPr>
    </w:p>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r>
    </w:p>
    <w:p>
      <w:pPr>
        <w:pStyle w:val="Style18"/>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по результатам рассмотрения дела</w:t>
        <w:br/>
        <w:t>№061/06/42-1539/2023</w:t>
      </w:r>
    </w:p>
    <w:p>
      <w:pPr>
        <w:pStyle w:val="Style18"/>
        <w:keepNext w:val="0"/>
        <w:keepLines w:val="0"/>
        <w:widowControl w:val="0"/>
        <w:shd w:val="clear" w:color="auto" w:fill="auto"/>
        <w:tabs>
          <w:tab w:pos="8270" w:val="left"/>
        </w:tabs>
        <w:bidi w:val="0"/>
        <w:spacing w:before="0" w:after="220" w:line="240" w:lineRule="auto"/>
        <w:ind w:left="0" w:right="0" w:firstLine="0"/>
        <w:jc w:val="both"/>
      </w:pPr>
      <w:r>
        <w:rPr>
          <w:color w:val="000000"/>
          <w:spacing w:val="0"/>
          <w:w w:val="100"/>
          <w:position w:val="0"/>
          <w:sz w:val="24"/>
          <w:szCs w:val="24"/>
          <w:shd w:val="clear" w:color="auto" w:fill="auto"/>
          <w:lang w:val="ru-RU" w:eastAsia="ru-RU" w:bidi="ru-RU"/>
        </w:rPr>
        <w:t>02.05.2023</w:t>
        <w:tab/>
        <w:t>г. Ростов-на-Дону</w:t>
      </w:r>
    </w:p>
    <w:p>
      <w:pPr>
        <w:pStyle w:val="Style18"/>
        <w:keepNext w:val="0"/>
        <w:keepLines w:val="0"/>
        <w:widowControl w:val="0"/>
        <w:shd w:val="clear" w:color="auto" w:fill="auto"/>
        <w:tabs>
          <w:tab w:pos="8918"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 Председатель Комиссии:</w:t>
        <w:tab/>
        <w:t>Т.С. Акопян,</w:t>
      </w:r>
    </w:p>
    <w:p>
      <w:pPr>
        <w:pStyle w:val="Style18"/>
        <w:keepNext w:val="0"/>
        <w:keepLines w:val="0"/>
        <w:widowControl w:val="0"/>
        <w:shd w:val="clear" w:color="auto" w:fill="auto"/>
        <w:tabs>
          <w:tab w:pos="8496"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С.А. Евстратова,</w:t>
      </w:r>
    </w:p>
    <w:p>
      <w:pPr>
        <w:pStyle w:val="Style18"/>
        <w:keepNext w:val="0"/>
        <w:keepLines w:val="0"/>
        <w:widowControl w:val="0"/>
        <w:shd w:val="clear" w:color="auto" w:fill="auto"/>
        <w:bidi w:val="0"/>
        <w:spacing w:before="0" w:after="220" w:line="240" w:lineRule="auto"/>
        <w:ind w:left="0" w:right="0" w:firstLine="8500"/>
        <w:jc w:val="both"/>
      </w:pPr>
      <w:r>
        <w:rPr>
          <w:color w:val="000000"/>
          <w:spacing w:val="0"/>
          <w:w w:val="100"/>
          <w:position w:val="0"/>
          <w:sz w:val="24"/>
          <w:szCs w:val="24"/>
          <w:shd w:val="clear" w:color="auto" w:fill="auto"/>
          <w:lang w:val="ru-RU" w:eastAsia="ru-RU" w:bidi="ru-RU"/>
        </w:rPr>
        <w:t>А.С. Вишнякова, рассмотрев дело №061/06/42-1539/2023 по жалобе Заявителя о нарушении Заказчиком при проведении открытого аукциона в электронной форме №0358300019023000006 «Определение поставщика на поставку медицинского оборудования (эндоскопическая система) в 2023 году.»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при участии представителей Заказчика - Беляева И.А. (доверенность от 03.04.2023 №07), Гончарова С.П. (доверенность от 03.04.2023 №08), представителя Заявителя - Барабанова Д.А. (доверенность от 09.01.2023 №б/н),</w:t>
      </w:r>
    </w:p>
    <w:p>
      <w:pPr>
        <w:pStyle w:val="Style18"/>
        <w:keepNext w:val="0"/>
        <w:keepLines w:val="0"/>
        <w:widowControl w:val="0"/>
        <w:shd w:val="clear" w:color="auto" w:fill="auto"/>
        <w:bidi w:val="0"/>
        <w:spacing w:before="0" w:after="22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В Ростовское УФАС России поступила жалоба ООО «АПгрейт» на действия государственного бюджетного учреждения Ростовской области «Консультативно-диагностический центр в г. Таганроге» при разработке извещения к электронному аукциону.</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8"/>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8"/>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указал причины формирования спорного описания объекта закупки;</w:t>
      </w:r>
    </w:p>
    <w:p>
      <w:pPr>
        <w:pStyle w:val="Style18"/>
        <w:keepNext w:val="0"/>
        <w:keepLines w:val="0"/>
        <w:widowControl w:val="0"/>
        <w:numPr>
          <w:ilvl w:val="0"/>
          <w:numId w:val="1"/>
        </w:numPr>
        <w:shd w:val="clear" w:color="auto" w:fill="auto"/>
        <w:tabs>
          <w:tab w:pos="982"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8"/>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 xml:space="preserve">В соответствии с ч.ч.1,3 ст.99 Закона, «Административным регламентом Федеральной антимонопольной службы по исполнению государственной функции по рассмотрению жалоб на </w:t>
      </w:r>
      <w:r>
        <w:rPr>
          <w:color w:val="000000"/>
          <w:spacing w:val="0"/>
          <w:w w:val="100"/>
          <w:position w:val="0"/>
          <w:sz w:val="24"/>
          <w:szCs w:val="24"/>
          <w:shd w:val="clear" w:color="auto" w:fill="auto"/>
          <w:lang w:val="ru-RU" w:eastAsia="ru-RU" w:bidi="ru-RU"/>
        </w:rPr>
        <w:t>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Регламент), утвержденным Приказом ФАС России от 19.11.2014 №727/14, в ходе рассмотрения дела установлено следующее.</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color w:val="000080"/>
          <w:spacing w:val="0"/>
          <w:w w:val="100"/>
          <w:position w:val="0"/>
          <w:sz w:val="24"/>
          <w:szCs w:val="24"/>
          <w:shd w:val="clear" w:color="auto" w:fill="auto"/>
          <w:lang w:val="ru-RU" w:eastAsia="ru-RU" w:bidi="ru-RU"/>
        </w:rPr>
        <w:t>^^^.хакиркцдоухи</w:t>
      </w:r>
      <w:r>
        <w:fldChar w:fldCharType="end"/>
      </w:r>
      <w:r>
        <w:rPr>
          <w:color w:val="000080"/>
          <w:spacing w:val="0"/>
          <w:w w:val="100"/>
          <w:position w:val="0"/>
          <w:sz w:val="24"/>
          <w:szCs w:val="24"/>
          <w:shd w:val="clear" w:color="auto" w:fill="auto"/>
          <w:lang w:val="ru-RU" w:eastAsia="ru-RU" w:bidi="ru-RU"/>
        </w:rPr>
        <w:t xml:space="preserve"> </w:t>
      </w:r>
      <w:r>
        <w:rPr>
          <w:color w:val="000000"/>
          <w:spacing w:val="0"/>
          <w:w w:val="100"/>
          <w:position w:val="0"/>
          <w:sz w:val="24"/>
          <w:szCs w:val="24"/>
          <w:shd w:val="clear" w:color="auto" w:fill="auto"/>
          <w:lang w:val="ru-RU" w:eastAsia="ru-RU" w:bidi="ru-RU"/>
        </w:rPr>
        <w:t>17.04.2023 размещено изменение №ИИ2 извещения о проведении закупки №0358300019023000006, согласно которому:</w:t>
      </w:r>
    </w:p>
    <w:p>
      <w:pPr>
        <w:pStyle w:val="Style18"/>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- 05.04.2023 12:00 (МСК);</w:t>
      </w:r>
    </w:p>
    <w:p>
      <w:pPr>
        <w:pStyle w:val="Style18"/>
        <w:keepNext w:val="0"/>
        <w:keepLines w:val="0"/>
        <w:widowControl w:val="0"/>
        <w:numPr>
          <w:ilvl w:val="0"/>
          <w:numId w:val="1"/>
        </w:numPr>
        <w:shd w:val="clear" w:color="auto" w:fill="auto"/>
        <w:tabs>
          <w:tab w:pos="938"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8 693 916,00 рублей.</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Данная закупка осуществляется в рамках реализации национального проекта «Здравоохранение».</w:t>
      </w:r>
    </w:p>
    <w:p>
      <w:pPr>
        <w:pStyle w:val="Style1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Согласно протоколу подведения итогов электронного аукциона от 27.04.2023 №ИЭА2, на участие в закупке подано 2 заявки.</w:t>
      </w:r>
    </w:p>
    <w:p>
      <w:pPr>
        <w:pStyle w:val="Style18"/>
        <w:keepNext w:val="0"/>
        <w:keepLines w:val="0"/>
        <w:widowControl w:val="0"/>
        <w:numPr>
          <w:ilvl w:val="0"/>
          <w:numId w:val="3"/>
        </w:numPr>
        <w:shd w:val="clear" w:color="auto" w:fill="auto"/>
        <w:tabs>
          <w:tab w:pos="141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полагает, что определенной Заказчиком совокупности характеристик приобретаемого медицинского оборудования, изложенной в описании объекта закупки, соответствует товар единственного производителя.</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соответствии с п. 1 ч. 2 ст. 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Пунктом 1 ч. 1 ст. 33 Закона установлено, что Заказчик в случаях, предусмотренных настоящим Федеральным законом, при описании объекта закупки должен руководствоваться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Из совокупного толкования п.1,2 ч.1, ч.2 ст.33 Закона следует, что описание объекта закупки должно носить объективный характер, то есть быть продиктовано истинными (а не мнимыми и недоказанными) потребностями заказчика, а также исключать любую возможность необоснованного ограничения количества потенциальных участников закупки установлением в извещении о проведении закупки заведомо неисполнимых требований либо требований, удовлетворить которые может лишь ограниченный круг лиц (при отсутствии доказательств действительной необходимости в установлении таких требований).</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Описание объекта закупки - это фиксация заказчиком в извещении о закупке качественных и количественных характеристик, признаков товара, обусловливающих их способность удовлетворять потребности и запросы заказчика, соответствовать своему назначению и предъявляемым требованиям.</w:t>
      </w:r>
    </w:p>
    <w:p>
      <w:pPr>
        <w:pStyle w:val="Style18"/>
        <w:keepNext w:val="0"/>
        <w:keepLines w:val="0"/>
        <w:widowControl w:val="0"/>
        <w:shd w:val="clear" w:color="auto" w:fill="auto"/>
        <w:bidi w:val="0"/>
        <w:spacing w:before="0" w:after="240" w:line="240" w:lineRule="auto"/>
        <w:ind w:left="0" w:right="0" w:firstLine="740"/>
        <w:jc w:val="both"/>
      </w:pPr>
      <w:r>
        <w:rPr>
          <w:color w:val="000000"/>
          <w:spacing w:val="0"/>
          <w:w w:val="100"/>
          <w:position w:val="0"/>
          <w:sz w:val="24"/>
          <w:szCs w:val="24"/>
          <w:shd w:val="clear" w:color="auto" w:fill="auto"/>
          <w:lang w:val="ru-RU" w:eastAsia="ru-RU" w:bidi="ru-RU"/>
        </w:rPr>
        <w:t>Согласно правовой позиции ФАС России, выраженной в письме от 20.09.2021 №ПИ/79427/21, объект закупки должен быть сформирован таким образом, чтобы совокупности характеристик товара соответствовало как минимум два производителя.</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Заказчик представил информацию, согласно которой определенной им совокупности характеристик приобретаемого товара соответствует следующее медицинское оборудование:</w:t>
      </w:r>
    </w:p>
    <w:p>
      <w:pPr>
        <w:pStyle w:val="Style18"/>
        <w:keepNext w:val="0"/>
        <w:keepLines w:val="0"/>
        <w:widowControl w:val="0"/>
        <w:numPr>
          <w:ilvl w:val="0"/>
          <w:numId w:val="5"/>
        </w:numPr>
        <w:shd w:val="clear" w:color="auto" w:fill="auto"/>
        <w:tabs>
          <w:tab w:pos="94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центр видеоинформационный О1утри8 СУ-170, «Олимпас Медикал Системе Корп.», Япония, О1утри8 МеШса1 8у81етз Согр., 43-2, НаТадауа 2-СЬоте, 8ЫЬиуа-ки, Токуо, ,1арап (регистрационное удостоверение от 17.07.2017 №РЗН 2015/3513);</w:t>
      </w:r>
    </w:p>
    <w:p>
      <w:pPr>
        <w:pStyle w:val="Style18"/>
        <w:keepNext w:val="0"/>
        <w:keepLines w:val="0"/>
        <w:widowControl w:val="0"/>
        <w:numPr>
          <w:ilvl w:val="0"/>
          <w:numId w:val="5"/>
        </w:numPr>
        <w:shd w:val="clear" w:color="auto" w:fill="auto"/>
        <w:tabs>
          <w:tab w:pos="94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видеопроцессор медицинский для эндоскопии «ПЕНТАКС» ЕРК с принадлежностями, «ХОЯ Корпорейшн», Япония, НОУА Согрогайоп, 6-10-1 МзЫ-ЗЫпщки, 8Ып]ики-ки, Токуо 160</w:t>
        <w:softHyphen/>
        <w:t>0023, ,1арап (регистрационное удостоверение от 28.12.2021 №ФСЗ 2008/02026).</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Данная информация подтверждается, в том числе, поданными заявками на участие в закупке, которые признаны аукционной комиссией соответствующими требованиям извещения.</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В силу ч.4 ст.106 Закона, участник закупки, подавший жалобу, вправе представить для рассмотрения жалобы по существу информацию и документы, подтверждающие обоснованность доводов жалобы.</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не представил информации, подтверждающую наличие в действиях Заказчика нарушений норм Закона при описании объекта закупки.</w:t>
      </w:r>
    </w:p>
    <w:p>
      <w:pPr>
        <w:pStyle w:val="Style18"/>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В силу изложенного, довод жалобы признан необоснованным.</w:t>
      </w:r>
    </w:p>
    <w:p>
      <w:pPr>
        <w:pStyle w:val="Style18"/>
        <w:keepNext w:val="0"/>
        <w:keepLines w:val="0"/>
        <w:widowControl w:val="0"/>
        <w:numPr>
          <w:ilvl w:val="0"/>
          <w:numId w:val="3"/>
        </w:numPr>
        <w:shd w:val="clear" w:color="auto" w:fill="auto"/>
        <w:tabs>
          <w:tab w:pos="1411" w:val="left"/>
        </w:tabs>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Заявитель указывает, что Заказчик нарушил положения ст. 33 Закона при подготовке обоснования необходимости использования нестандартных характеристик приобретаемого товара.</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 xml:space="preserve">В соответствии с п. 2 ч. 1 ст. 33 Закона заказчик в случаях, предусмотренных настоящим Федеральным законом, при описании объекта закупки должен руководствоваться следующими правилами: использование при составлении описания объекта закупки показателей, требований, условных обозначений и терминологии, касающихся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 </w:t>
      </w:r>
      <w:r>
        <w:rPr>
          <w:color w:val="000000"/>
          <w:spacing w:val="0"/>
          <w:w w:val="100"/>
          <w:position w:val="0"/>
          <w:sz w:val="24"/>
          <w:szCs w:val="24"/>
          <w:u w:val="single"/>
          <w:shd w:val="clear" w:color="auto" w:fill="auto"/>
          <w:lang w:val="ru-RU" w:eastAsia="ru-RU" w:bidi="ru-RU"/>
        </w:rPr>
        <w:t>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 законодательством Российской Федерации о стандартизации показатели, требования, условные обозначения и терминология, в таком описании должно содержаться обоснование необходимости использования других показателей, требований, условных обозначений и терминологии</w:t>
      </w:r>
      <w:r>
        <w:rPr>
          <w:color w:val="000000"/>
          <w:spacing w:val="0"/>
          <w:w w:val="100"/>
          <w:position w:val="0"/>
          <w:sz w:val="24"/>
          <w:szCs w:val="24"/>
          <w:shd w:val="clear" w:color="auto" w:fill="auto"/>
          <w:lang w:val="ru-RU" w:eastAsia="ru-RU" w:bidi="ru-RU"/>
        </w:rPr>
        <w:t>.</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При этом, согласно описанию объекта закупки, характеристики товара определены в том числе с использованием ГОСТ Р 56278-2014 «Национальный стандарт Российской Федерации. Изделия медицинские электрические. Видеоэндоскопические комплексы с установками для ультразвуковой и флуоресцентной эндоскопии. Технические требования для государственных закупок» (далее - ГОСТ Р 56278-2014). Настоящий стандарт устанавливает общие требования к подготовке проведения государственных закупок медицинского оборудования (МО): видеоэндоскопические комплексы с установками для ультразвуковой и флуоресцентной эндоскопии (далее - ВЭ комплексы), предназначенные для диагностики различных заболеваний в организме человека.</w:t>
      </w:r>
    </w:p>
    <w:p>
      <w:pPr>
        <w:pStyle w:val="Style18"/>
        <w:keepNext w:val="0"/>
        <w:keepLines w:val="0"/>
        <w:widowControl w:val="0"/>
        <w:shd w:val="clear" w:color="auto" w:fill="auto"/>
        <w:bidi w:val="0"/>
        <w:spacing w:before="0" w:after="0" w:line="240" w:lineRule="auto"/>
        <w:ind w:left="0" w:right="0" w:firstLine="740"/>
        <w:jc w:val="both"/>
      </w:pPr>
      <w:r>
        <w:rPr>
          <w:color w:val="000000"/>
          <w:spacing w:val="0"/>
          <w:w w:val="100"/>
          <w:position w:val="0"/>
          <w:sz w:val="24"/>
          <w:szCs w:val="24"/>
          <w:shd w:val="clear" w:color="auto" w:fill="auto"/>
          <w:lang w:val="ru-RU" w:eastAsia="ru-RU" w:bidi="ru-RU"/>
        </w:rPr>
        <w:t>Частью 1 ст. 26 Федерального закона от 29.06.2015 ^ 162-ФЗ "О стандартизации в Российской Федерации" определено, что документы национальной системы стандартизации применяются на добровольной основе одинаковым образом и в равной мере независимо от страны и (или) места происхождения продукции (товаров, работ, услуг), если иное не установлено законодательством Российской Федерации.</w:t>
      </w:r>
    </w:p>
    <w:p>
      <w:pPr>
        <w:pStyle w:val="Style18"/>
        <w:keepNext w:val="0"/>
        <w:keepLines w:val="0"/>
        <w:widowControl w:val="0"/>
        <w:shd w:val="clear" w:color="auto" w:fill="auto"/>
        <w:bidi w:val="0"/>
        <w:spacing w:before="0" w:after="260" w:line="240" w:lineRule="auto"/>
        <w:ind w:left="0" w:right="0" w:firstLine="740"/>
        <w:jc w:val="both"/>
      </w:pPr>
      <w:r>
        <w:rPr>
          <w:color w:val="000000"/>
          <w:spacing w:val="0"/>
          <w:w w:val="100"/>
          <w:position w:val="0"/>
          <w:sz w:val="24"/>
          <w:szCs w:val="24"/>
          <w:shd w:val="clear" w:color="auto" w:fill="auto"/>
          <w:lang w:val="ru-RU" w:eastAsia="ru-RU" w:bidi="ru-RU"/>
        </w:rPr>
        <w:t>Изучив описание объекта закупки, Комиссия установила, что Заказчик использовал предусмотренные ГОСТ Р 56278-2014 характеристики и включил дополнительные, например:</w:t>
      </w:r>
    </w:p>
    <w:tbl>
      <w:tblPr>
        <w:tblOverlap w:val="never"/>
        <w:jc w:val="center"/>
        <w:tblLayout w:type="fixed"/>
      </w:tblPr>
      <w:tblGrid>
        <w:gridCol w:w="739"/>
        <w:gridCol w:w="2957"/>
        <w:gridCol w:w="1421"/>
        <w:gridCol w:w="5093"/>
      </w:tblGrid>
      <w:tr>
        <w:trPr>
          <w:trHeight w:val="293" w:hRule="exact"/>
        </w:trPr>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2.2.9</w:t>
            </w: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Регулировка баланса белого</w:t>
            </w: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Соответствие</w:t>
            </w:r>
          </w:p>
        </w:tc>
        <w:tc>
          <w:tcPr>
            <w:tcBorders>
              <w:top w:val="single" w:sz="4"/>
              <w:left w:val="single" w:sz="4"/>
              <w:bottom w:val="single" w:sz="4"/>
              <w:righ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Для улучшения визуализации и дифференциальной</w:t>
            </w:r>
          </w:p>
        </w:tc>
      </w:tr>
    </w:tbl>
    <w:p>
      <w:pPr>
        <w:widowControl w:val="0"/>
        <w:spacing w:line="1" w:lineRule="exact"/>
      </w:pPr>
      <w:r>
        <w:br w:type="page"/>
      </w:r>
    </w:p>
    <w:tbl>
      <w:tblPr>
        <w:tblOverlap w:val="never"/>
        <w:jc w:val="center"/>
        <w:tblLayout w:type="fixed"/>
      </w:tblPr>
      <w:tblGrid>
        <w:gridCol w:w="739"/>
        <w:gridCol w:w="2957"/>
        <w:gridCol w:w="1421"/>
        <w:gridCol w:w="5093"/>
      </w:tblGrid>
      <w:tr>
        <w:trPr>
          <w:trHeight w:val="427" w:hRule="exact"/>
        </w:trPr>
        <w:tc>
          <w:tcPr>
            <w:tcBorders>
              <w:top w:val="single" w:sz="4"/>
              <w:left w:val="single" w:sz="4"/>
            </w:tcBorders>
            <w:shd w:val="clear" w:color="auto" w:fill="auto"/>
            <w:vAlign w:val="top"/>
          </w:tcPr>
          <w:p>
            <w:pPr>
              <w:widowControl w:val="0"/>
              <w:rPr>
                <w:sz w:val="10"/>
                <w:szCs w:val="10"/>
              </w:rPr>
            </w:pPr>
          </w:p>
        </w:tc>
        <w:tc>
          <w:tcPr>
            <w:tcBorders>
              <w:top w:val="single" w:sz="4"/>
              <w:left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кнопкой за одно нажатие на передней панели видеопроцессора</w:t>
            </w:r>
          </w:p>
        </w:tc>
        <w:tc>
          <w:tcPr>
            <w:tcBorders>
              <w:top w:val="single" w:sz="4"/>
              <w:left w:val="single" w:sz="4"/>
            </w:tcBorders>
            <w:shd w:val="clear" w:color="auto" w:fill="auto"/>
            <w:vAlign w:val="top"/>
          </w:tcPr>
          <w:p>
            <w:pPr>
              <w:widowControl w:val="0"/>
              <w:rPr>
                <w:sz w:val="10"/>
                <w:szCs w:val="10"/>
              </w:rPr>
            </w:pPr>
          </w:p>
        </w:tc>
        <w:tc>
          <w:tcPr>
            <w:tcBorders>
              <w:top w:val="single" w:sz="4"/>
              <w:left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диагностики патологических участков слизистой</w:t>
            </w:r>
          </w:p>
        </w:tc>
      </w:tr>
      <w:tr>
        <w:trPr>
          <w:trHeight w:val="432" w:hRule="exact"/>
        </w:trPr>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2.2.10</w:t>
            </w:r>
          </w:p>
        </w:tc>
        <w:tc>
          <w:tcPr>
            <w:tcBorders>
              <w:top w:val="single" w:sz="4"/>
              <w:left w:val="single" w:sz="4"/>
              <w:bottom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Разъем для флеш памяти</w:t>
            </w:r>
          </w:p>
        </w:tc>
        <w:tc>
          <w:tcPr>
            <w:tcBorders>
              <w:top w:val="single" w:sz="4"/>
              <w:left w:val="single" w:sz="4"/>
              <w:bottom w:val="single" w:sz="4"/>
            </w:tcBorders>
            <w:shd w:val="clear" w:color="auto" w:fill="auto"/>
            <w:vAlign w:val="bottom"/>
          </w:tcPr>
          <w:p>
            <w:pPr>
              <w:pStyle w:val="Style27"/>
              <w:keepNext w:val="0"/>
              <w:keepLines w:val="0"/>
              <w:widowControl w:val="0"/>
              <w:shd w:val="clear" w:color="auto" w:fill="auto"/>
              <w:bidi w:val="0"/>
              <w:spacing w:before="0" w:after="0" w:line="240" w:lineRule="auto"/>
              <w:ind w:left="0" w:right="0" w:firstLine="0"/>
              <w:jc w:val="center"/>
              <w:rPr>
                <w:sz w:val="18"/>
                <w:szCs w:val="18"/>
              </w:rPr>
            </w:pPr>
            <w:r>
              <w:rPr>
                <w:color w:val="000000"/>
                <w:spacing w:val="0"/>
                <w:w w:val="100"/>
                <w:position w:val="0"/>
                <w:sz w:val="18"/>
                <w:szCs w:val="18"/>
                <w:shd w:val="clear" w:color="auto" w:fill="auto"/>
                <w:lang w:val="ru-RU" w:eastAsia="ru-RU" w:bidi="ru-RU"/>
              </w:rPr>
              <w:t>На передней панели*</w:t>
            </w:r>
          </w:p>
        </w:tc>
        <w:tc>
          <w:tcPr>
            <w:tcBorders>
              <w:top w:val="single" w:sz="4"/>
              <w:left w:val="single" w:sz="4"/>
              <w:bottom w:val="single" w:sz="4"/>
              <w:right w:val="single" w:sz="4"/>
            </w:tcBorders>
            <w:shd w:val="clear" w:color="auto" w:fill="auto"/>
            <w:vAlign w:val="center"/>
          </w:tcPr>
          <w:p>
            <w:pPr>
              <w:pStyle w:val="Style27"/>
              <w:keepNext w:val="0"/>
              <w:keepLines w:val="0"/>
              <w:widowControl w:val="0"/>
              <w:shd w:val="clear" w:color="auto" w:fill="auto"/>
              <w:bidi w:val="0"/>
              <w:spacing w:before="0" w:after="0" w:line="240" w:lineRule="auto"/>
              <w:ind w:left="0" w:right="0" w:firstLine="0"/>
              <w:jc w:val="left"/>
              <w:rPr>
                <w:sz w:val="18"/>
                <w:szCs w:val="18"/>
              </w:rPr>
            </w:pPr>
            <w:r>
              <w:rPr>
                <w:color w:val="000000"/>
                <w:spacing w:val="0"/>
                <w:w w:val="100"/>
                <w:position w:val="0"/>
                <w:sz w:val="18"/>
                <w:szCs w:val="18"/>
                <w:shd w:val="clear" w:color="auto" w:fill="auto"/>
                <w:lang w:val="ru-RU" w:eastAsia="ru-RU" w:bidi="ru-RU"/>
              </w:rPr>
              <w:t>Согласно ГОСТ Р 56278-2014</w:t>
            </w:r>
          </w:p>
        </w:tc>
      </w:tr>
    </w:tbl>
    <w:p>
      <w:pPr>
        <w:widowControl w:val="0"/>
        <w:spacing w:after="239" w:line="1" w:lineRule="exact"/>
      </w:pPr>
    </w:p>
    <w:p>
      <w:pPr>
        <w:pStyle w:val="Style18"/>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При этом, ГОСТ Р 56278-2014 не содержит такой характеристики, как наличие разъема для флэш-памяти, ввиду чего указание Заказчиком обоснования необходимости использования такой характеристики таким образом является нарушением ч. 1 ст. 33 Закона. Довод жалобы признан обоснованным.</w:t>
      </w:r>
    </w:p>
    <w:p>
      <w:pPr>
        <w:pStyle w:val="Style18"/>
        <w:keepNext w:val="0"/>
        <w:keepLines w:val="0"/>
        <w:widowControl w:val="0"/>
        <w:shd w:val="clear" w:color="auto" w:fill="auto"/>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Комиссия Ростовского УФАС в соответствии с п. 3.35 Регламента не выдает предписание об устранении выявленного нарушения Закона, поскольку оно не повлияло на результат определения победителя.</w:t>
      </w:r>
    </w:p>
    <w:p>
      <w:pPr>
        <w:pStyle w:val="Style18"/>
        <w:keepNext w:val="0"/>
        <w:keepLines w:val="0"/>
        <w:widowControl w:val="0"/>
        <w:shd w:val="clear" w:color="auto" w:fill="auto"/>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8"/>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8"/>
        <w:keepNext w:val="0"/>
        <w:keepLines w:val="0"/>
        <w:widowControl w:val="0"/>
        <w:numPr>
          <w:ilvl w:val="0"/>
          <w:numId w:val="7"/>
        </w:numPr>
        <w:shd w:val="clear" w:color="auto" w:fill="auto"/>
        <w:tabs>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жалобу Заявителя частично обоснованной.</w:t>
      </w:r>
    </w:p>
    <w:p>
      <w:pPr>
        <w:pStyle w:val="Style18"/>
        <w:keepNext w:val="0"/>
        <w:keepLines w:val="0"/>
        <w:widowControl w:val="0"/>
        <w:numPr>
          <w:ilvl w:val="0"/>
          <w:numId w:val="7"/>
        </w:numPr>
        <w:shd w:val="clear" w:color="auto" w:fill="auto"/>
        <w:tabs>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Признать Заказчика нарушившим ч. 1 ст. 33 Закона.</w:t>
      </w:r>
    </w:p>
    <w:p>
      <w:pPr>
        <w:pStyle w:val="Style18"/>
        <w:keepNext w:val="0"/>
        <w:keepLines w:val="0"/>
        <w:widowControl w:val="0"/>
        <w:numPr>
          <w:ilvl w:val="0"/>
          <w:numId w:val="7"/>
        </w:numPr>
        <w:shd w:val="clear" w:color="auto" w:fill="auto"/>
        <w:tabs>
          <w:tab w:pos="1411" w:val="left"/>
        </w:tabs>
        <w:bidi w:val="0"/>
        <w:spacing w:before="0" w:after="0" w:line="240" w:lineRule="auto"/>
        <w:ind w:left="0" w:right="0" w:firstLine="720"/>
        <w:jc w:val="both"/>
      </w:pPr>
      <w:r>
        <w:rPr>
          <w:color w:val="000000"/>
          <w:spacing w:val="0"/>
          <w:w w:val="100"/>
          <w:position w:val="0"/>
          <w:sz w:val="24"/>
          <w:szCs w:val="24"/>
          <w:shd w:val="clear" w:color="auto" w:fill="auto"/>
          <w:lang w:val="ru-RU" w:eastAsia="ru-RU" w:bidi="ru-RU"/>
        </w:rPr>
        <w:t>Предписание об устранении указанного нарушения Закона не выдавать, поскольку оно не повлияло на результат определения победителя.</w:t>
      </w:r>
    </w:p>
    <w:p>
      <w:pPr>
        <w:pStyle w:val="Style18"/>
        <w:keepNext w:val="0"/>
        <w:keepLines w:val="0"/>
        <w:widowControl w:val="0"/>
        <w:numPr>
          <w:ilvl w:val="0"/>
          <w:numId w:val="7"/>
        </w:numPr>
        <w:shd w:val="clear" w:color="auto" w:fill="auto"/>
        <w:tabs>
          <w:tab w:pos="1411" w:val="left"/>
        </w:tabs>
        <w:bidi w:val="0"/>
        <w:spacing w:before="0" w:after="240" w:line="240" w:lineRule="auto"/>
        <w:ind w:left="0" w:right="0" w:firstLine="720"/>
        <w:jc w:val="both"/>
      </w:pPr>
      <w:r>
        <w:rPr>
          <w:color w:val="000000"/>
          <w:spacing w:val="0"/>
          <w:w w:val="100"/>
          <w:position w:val="0"/>
          <w:sz w:val="24"/>
          <w:szCs w:val="24"/>
          <w:shd w:val="clear" w:color="auto" w:fill="auto"/>
          <w:lang w:val="ru-RU" w:eastAsia="ru-RU" w:bidi="ru-RU"/>
        </w:rPr>
        <w:t>Рассмотреть вопрос о привлечении виновных должностных лиц Заказчика к административной ответственности.</w:t>
      </w:r>
    </w:p>
    <w:p>
      <w:pPr>
        <w:pStyle w:val="Style8"/>
        <w:keepNext w:val="0"/>
        <w:keepLines w:val="0"/>
        <w:widowControl w:val="0"/>
        <w:shd w:val="clear" w:color="auto" w:fill="auto"/>
        <w:bidi w:val="0"/>
        <w:spacing w:before="0" w:after="0" w:line="240" w:lineRule="auto"/>
        <w:ind w:left="0" w:right="0" w:firstLine="840"/>
        <w:jc w:val="both"/>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 принятия.</w:t>
      </w:r>
    </w:p>
    <w:p>
      <w:pPr>
        <w:widowControl w:val="0"/>
        <w:spacing w:line="1" w:lineRule="exact"/>
        <w:sectPr>
          <w:footnotePr>
            <w:pos w:val="pageBottom"/>
            <w:numFmt w:val="decimal"/>
            <w:numRestart w:val="continuous"/>
          </w:footnotePr>
          <w:type w:val="continuous"/>
          <w:pgSz w:w="11900" w:h="16840"/>
          <w:pgMar w:top="1043" w:right="534" w:bottom="914" w:left="1099" w:header="615" w:footer="3" w:gutter="0"/>
          <w:cols w:space="720"/>
          <w:noEndnote/>
          <w:rtlGutter w:val="0"/>
          <w:docGrid w:linePitch="360"/>
        </w:sectPr>
      </w:pPr>
      <w:r>
        <mc:AlternateContent>
          <mc:Choice Requires="wps">
            <w:drawing>
              <wp:anchor distT="101600" distB="389890" distL="0" distR="0" simplePos="0" relativeHeight="125829378" behindDoc="0" locked="0" layoutInCell="1" allowOverlap="1">
                <wp:simplePos x="0" y="0"/>
                <wp:positionH relativeFrom="page">
                  <wp:posOffset>735965</wp:posOffset>
                </wp:positionH>
                <wp:positionV relativeFrom="paragraph">
                  <wp:posOffset>101600</wp:posOffset>
                </wp:positionV>
                <wp:extent cx="1572895" cy="216535"/>
                <wp:wrapTopAndBottom/>
                <wp:docPr id="3" name="Shape 3"/>
                <a:graphic xmlns:a="http://schemas.openxmlformats.org/drawingml/2006/main">
                  <a:graphicData uri="http://schemas.microsoft.com/office/word/2010/wordprocessingShape">
                    <wps:wsp>
                      <wps:cNvSpPr txBox="1"/>
                      <wps:spPr>
                        <a:xfrm>
                          <a:ext cx="1572895"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29" type="#_x0000_t202" style="position:absolute;margin-left:57.950000000000003pt;margin-top:8.pt;width:123.85000000000001pt;height:17.050000000000001pt;z-index:-125829375;mso-wrap-distance-left:0;mso-wrap-distance-top:8.pt;mso-wrap-distance-right:0;mso-wrap-distance-bottom:30.69999999999999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171450" distB="0" distL="0" distR="1786255" simplePos="0" relativeHeight="125829380" behindDoc="0" locked="0" layoutInCell="1" allowOverlap="1">
            <wp:simplePos x="0" y="0"/>
            <wp:positionH relativeFrom="page">
              <wp:posOffset>2659380</wp:posOffset>
            </wp:positionH>
            <wp:positionV relativeFrom="paragraph">
              <wp:posOffset>171450</wp:posOffset>
            </wp:positionV>
            <wp:extent cx="353695" cy="536575"/>
            <wp:wrapTopAndBottom/>
            <wp:docPr id="5" name="Shape 5"/>
            <a:graphic xmlns:a="http://schemas.openxmlformats.org/drawingml/2006/main">
              <a:graphicData uri="http://schemas.openxmlformats.org/drawingml/2006/picture">
                <pic:pic xmlns:pic="http://schemas.openxmlformats.org/drawingml/2006/picture">
                  <pic:nvPicPr>
                    <pic:cNvPr id="6" name="Picture box 6"/>
                    <pic:cNvPicPr/>
                  </pic:nvPicPr>
                  <pic:blipFill>
                    <a:blip r:embed="rId6"/>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3116580</wp:posOffset>
                </wp:positionH>
                <wp:positionV relativeFrom="paragraph">
                  <wp:posOffset>574040</wp:posOffset>
                </wp:positionV>
                <wp:extent cx="1280160" cy="100330"/>
                <wp:wrapNone/>
                <wp:docPr id="7" name="Shape 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3" type="#_x0000_t202" style="position:absolute;margin-left:245.40000000000001pt;margin-top:45.200000000000003pt;width:100.8pt;height:7.9000000000000004pt;z-index:251657729;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3074035</wp:posOffset>
                </wp:positionH>
                <wp:positionV relativeFrom="paragraph">
                  <wp:posOffset>259715</wp:posOffset>
                </wp:positionV>
                <wp:extent cx="1722120" cy="255905"/>
                <wp:wrapNone/>
                <wp:docPr id="9" name="Shape 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5" type="#_x0000_t202" style="position:absolute;margin-left:242.05000000000001pt;margin-top:20.449999999999999pt;width:135.59999999999999pt;height:20.150000000000002pt;z-index:251657731;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101600" distB="389890" distL="0" distR="0" simplePos="0" relativeHeight="125829381" behindDoc="0" locked="0" layoutInCell="1" allowOverlap="1">
                <wp:simplePos x="0" y="0"/>
                <wp:positionH relativeFrom="page">
                  <wp:posOffset>6381115</wp:posOffset>
                </wp:positionH>
                <wp:positionV relativeFrom="paragraph">
                  <wp:posOffset>101600</wp:posOffset>
                </wp:positionV>
                <wp:extent cx="807720" cy="216535"/>
                <wp:wrapTopAndBottom/>
                <wp:docPr id="11" name="Shape 11"/>
                <a:graphic xmlns:a="http://schemas.openxmlformats.org/drawingml/2006/main">
                  <a:graphicData uri="http://schemas.microsoft.com/office/word/2010/wordprocessingShape">
                    <wps:wsp>
                      <wps:cNvSpPr txBox="1"/>
                      <wps:spPr>
                        <a:xfrm>
                          <a:ext cx="807720" cy="216535"/>
                        </a:xfrm>
                        <a:prstGeom prst="rect"/>
                        <a:noFill/>
                      </wps:spPr>
                      <wps:txbx>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txbxContent>
                      </wps:txbx>
                      <wps:bodyPr wrap="none" lIns="0" tIns="0" rIns="0" bIns="0">
                        <a:noAutoFit/>
                      </wps:bodyPr>
                    </wps:wsp>
                  </a:graphicData>
                </a:graphic>
              </wp:anchor>
            </w:drawing>
          </mc:Choice>
          <mc:Fallback>
            <w:pict>
              <v:shape id="_x0000_s1037" type="#_x0000_t202" style="position:absolute;margin-left:502.44999999999999pt;margin-top:8.pt;width:63.600000000000001pt;height:17.050000000000001pt;z-index:-125829372;mso-wrap-distance-left:0;mso-wrap-distance-top:8.pt;mso-wrap-distance-right:0;mso-wrap-distance-bottom:30.699999999999999pt;mso-position-horizontal-relative:page" filled="f" stroked="f">
                <v:textbox inset="0,0,0,0">
                  <w:txbxContent>
                    <w:p>
                      <w:pPr>
                        <w:pStyle w:val="Style18"/>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Т.С. Акопян</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212121"/>
          <w:spacing w:val="0"/>
          <w:w w:val="100"/>
          <w:position w:val="0"/>
          <w:sz w:val="12"/>
          <w:szCs w:val="12"/>
          <w:shd w:val="clear" w:color="auto" w:fill="auto"/>
          <w:lang w:val="ru-RU" w:eastAsia="ru-RU" w:bidi="ru-RU"/>
        </w:rPr>
        <w:t xml:space="preserve">Кому </w:t>
      </w:r>
      <w:r>
        <w:rPr>
          <w:color w:val="6D6D6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Акопян Тигран Саргисович</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212121"/>
          <w:spacing w:val="0"/>
          <w:w w:val="100"/>
          <w:position w:val="0"/>
          <w:shd w:val="clear" w:color="auto" w:fill="auto"/>
          <w:lang w:val="ru-RU" w:eastAsia="ru-RU" w:bidi="ru-RU"/>
        </w:rPr>
        <w:t>00А66ОЗО1Е859Е9О8016685Е8343799В6В</w:t>
      </w:r>
    </w:p>
    <w:p>
      <w:pPr>
        <w:pStyle w:val="Style31"/>
        <w:keepNext w:val="0"/>
        <w:keepLines w:val="0"/>
        <w:widowControl w:val="0"/>
        <w:shd w:val="clear" w:color="auto" w:fill="auto"/>
        <w:bidi w:val="0"/>
        <w:spacing w:before="0" w:after="60" w:line="240" w:lineRule="auto"/>
        <w:ind w:right="0" w:firstLine="0"/>
        <w:jc w:val="left"/>
      </w:pPr>
      <w:r>
        <w:rPr>
          <w:color w:val="6D6D6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D6D6D"/>
          <w:spacing w:val="0"/>
          <w:w w:val="100"/>
          <w:position w:val="0"/>
          <w:shd w:val="clear" w:color="auto" w:fill="auto"/>
          <w:lang w:val="ru-RU" w:eastAsia="ru-RU" w:bidi="ru-RU"/>
        </w:rPr>
        <w:t xml:space="preserve">30.11.2022 по </w:t>
      </w:r>
      <w:r>
        <w:rPr>
          <w:spacing w:val="0"/>
          <w:w w:val="100"/>
          <w:position w:val="0"/>
          <w:shd w:val="clear" w:color="auto" w:fill="auto"/>
          <w:lang w:val="ru-RU" w:eastAsia="ru-RU" w:bidi="ru-RU"/>
        </w:rPr>
        <w:t>23.02.2024</w:t>
      </w:r>
    </w:p>
    <w:p>
      <w:pPr>
        <w:pStyle w:val="Style18"/>
        <w:keepNext w:val="0"/>
        <w:keepLines w:val="0"/>
        <w:widowControl w:val="0"/>
        <w:shd w:val="clear" w:color="auto" w:fill="auto"/>
        <w:bidi w:val="0"/>
        <w:spacing w:before="0" w:after="60" w:line="240" w:lineRule="auto"/>
        <w:ind w:left="0" w:right="0" w:firstLine="0"/>
        <w:jc w:val="left"/>
      </w:pPr>
      <w:r>
        <w:rPr>
          <w:color w:val="000000"/>
          <w:spacing w:val="0"/>
          <w:w w:val="100"/>
          <w:position w:val="0"/>
          <w:sz w:val="24"/>
          <w:szCs w:val="24"/>
          <w:shd w:val="clear" w:color="auto" w:fill="auto"/>
          <w:lang w:val="ru-RU" w:eastAsia="ru-RU" w:bidi="ru-RU"/>
        </w:rPr>
        <w:t>Члены комиссии:</w:t>
      </w:r>
    </w:p>
    <w:p>
      <w:pPr>
        <w:pStyle w:val="Style18"/>
        <w:keepNext w:val="0"/>
        <w:keepLines w:val="0"/>
        <w:widowControl w:val="0"/>
        <w:shd w:val="clear" w:color="auto" w:fill="auto"/>
        <w:bidi w:val="0"/>
        <w:spacing w:before="0" w:after="680" w:line="240" w:lineRule="auto"/>
        <w:ind w:left="1880" w:right="0" w:firstLine="0"/>
        <w:jc w:val="left"/>
      </w:pPr>
      <w:r>
        <w:drawing>
          <wp:anchor distT="0" distB="0" distL="114300" distR="1900555" simplePos="0" relativeHeight="125829383" behindDoc="0" locked="0" layoutInCell="1" allowOverlap="1">
            <wp:simplePos x="0" y="0"/>
            <wp:positionH relativeFrom="page">
              <wp:posOffset>2659380</wp:posOffset>
            </wp:positionH>
            <wp:positionV relativeFrom="paragraph">
              <wp:posOffset>63500</wp:posOffset>
            </wp:positionV>
            <wp:extent cx="353695" cy="536575"/>
            <wp:wrapSquare wrapText="right"/>
            <wp:docPr id="13" name="Shape 13"/>
            <a:graphic xmlns:a="http://schemas.openxmlformats.org/drawingml/2006/main">
              <a:graphicData uri="http://schemas.openxmlformats.org/drawingml/2006/picture">
                <pic:pic xmlns:pic="http://schemas.openxmlformats.org/drawingml/2006/picture">
                  <pic:nvPicPr>
                    <pic:cNvPr id="14" name="Picture box 14"/>
                    <pic:cNvPicPr/>
                  </pic:nvPicPr>
                  <pic:blipFill>
                    <a:blip r:embed="rId8"/>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3116580</wp:posOffset>
                </wp:positionH>
                <wp:positionV relativeFrom="paragraph">
                  <wp:posOffset>466090</wp:posOffset>
                </wp:positionV>
                <wp:extent cx="1280160" cy="100330"/>
                <wp:wrapNone/>
                <wp:docPr id="15" name="Shape 15"/>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1" type="#_x0000_t202" style="position:absolute;margin-left:245.40000000000001pt;margin-top:36.700000000000003pt;width:100.8pt;height:7.9000000000000004pt;z-index:251657733;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3074035</wp:posOffset>
                </wp:positionH>
                <wp:positionV relativeFrom="paragraph">
                  <wp:posOffset>151765</wp:posOffset>
                </wp:positionV>
                <wp:extent cx="1722120" cy="255905"/>
                <wp:wrapNone/>
                <wp:docPr id="17" name="Shape 1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3" type="#_x0000_t202" style="position:absolute;margin-left:242.05000000000001pt;margin-top:11.950000000000001pt;width:135.59999999999999pt;height:20.150000000000002pt;z-index:251657735;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С.А. Евстратова</w:t>
      </w:r>
    </w:p>
    <w:p>
      <w:pPr>
        <w:pStyle w:val="Style31"/>
        <w:keepNext w:val="0"/>
        <w:keepLines w:val="0"/>
        <w:widowControl w:val="0"/>
        <w:shd w:val="clear" w:color="auto" w:fill="auto"/>
        <w:bidi w:val="0"/>
        <w:spacing w:before="0" w:after="0" w:line="240" w:lineRule="auto"/>
        <w:ind w:right="0" w:firstLine="0"/>
        <w:jc w:val="left"/>
        <w:rPr>
          <w:sz w:val="11"/>
          <w:szCs w:val="11"/>
        </w:rPr>
      </w:pPr>
      <w:r>
        <w:rPr>
          <w:color w:val="000000"/>
          <w:spacing w:val="0"/>
          <w:w w:val="100"/>
          <w:position w:val="0"/>
          <w:sz w:val="12"/>
          <w:szCs w:val="12"/>
          <w:shd w:val="clear" w:color="auto" w:fill="auto"/>
          <w:lang w:val="ru-RU" w:eastAsia="ru-RU" w:bidi="ru-RU"/>
        </w:rPr>
        <w:t xml:space="preserve">Кому </w:t>
      </w:r>
      <w:r>
        <w:rPr>
          <w:color w:val="6D6D6D"/>
          <w:spacing w:val="0"/>
          <w:w w:val="100"/>
          <w:position w:val="0"/>
          <w:sz w:val="12"/>
          <w:szCs w:val="12"/>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Евстратова Софья Александровна</w:t>
      </w:r>
    </w:p>
    <w:p>
      <w:pPr>
        <w:pStyle w:val="Style31"/>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00АО80СО55ВЕ1728ОО46ЕСРЮА43Е063О</w:t>
      </w:r>
    </w:p>
    <w:p>
      <w:pPr>
        <w:pStyle w:val="Style31"/>
        <w:keepNext w:val="0"/>
        <w:keepLines w:val="0"/>
        <w:widowControl w:val="0"/>
        <w:shd w:val="clear" w:color="auto" w:fill="auto"/>
        <w:bidi w:val="0"/>
        <w:spacing w:before="0" w:after="320" w:line="240" w:lineRule="auto"/>
        <w:ind w:right="0" w:firstLine="0"/>
        <w:jc w:val="left"/>
      </w:pPr>
      <w:r>
        <w:rPr>
          <w:color w:val="6D6D6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D6D6D"/>
          <w:spacing w:val="0"/>
          <w:w w:val="100"/>
          <w:position w:val="0"/>
          <w:shd w:val="clear" w:color="auto" w:fill="auto"/>
          <w:lang w:val="ru-RU" w:eastAsia="ru-RU" w:bidi="ru-RU"/>
        </w:rPr>
        <w:t>24.04.2023 по 17.07.2024</w:t>
      </w:r>
    </w:p>
    <w:p>
      <w:pPr>
        <w:pStyle w:val="Style18"/>
        <w:keepNext w:val="0"/>
        <w:keepLines w:val="0"/>
        <w:widowControl w:val="0"/>
        <w:shd w:val="clear" w:color="auto" w:fill="auto"/>
        <w:bidi w:val="0"/>
        <w:spacing w:before="0" w:after="680" w:line="240" w:lineRule="auto"/>
        <w:ind w:left="1880" w:right="0" w:firstLine="0"/>
        <w:jc w:val="left"/>
      </w:pPr>
      <w:r>
        <w:drawing>
          <wp:anchor distT="0" distB="0" distL="114300" distR="1900555" simplePos="0" relativeHeight="125829384" behindDoc="0" locked="0" layoutInCell="1" allowOverlap="1">
            <wp:simplePos x="0" y="0"/>
            <wp:positionH relativeFrom="page">
              <wp:posOffset>2659380</wp:posOffset>
            </wp:positionH>
            <wp:positionV relativeFrom="paragraph">
              <wp:posOffset>63500</wp:posOffset>
            </wp:positionV>
            <wp:extent cx="353695" cy="536575"/>
            <wp:wrapSquare wrapText="right"/>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0"/>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3116580</wp:posOffset>
                </wp:positionH>
                <wp:positionV relativeFrom="paragraph">
                  <wp:posOffset>462915</wp:posOffset>
                </wp:positionV>
                <wp:extent cx="1280160" cy="103505"/>
                <wp:wrapNone/>
                <wp:docPr id="21" name="Shape 21"/>
                <a:graphic xmlns:a="http://schemas.openxmlformats.org/drawingml/2006/main">
                  <a:graphicData uri="http://schemas.microsoft.com/office/word/2010/wordprocessingShape">
                    <wps:wsp>
                      <wps:cNvSpPr txBox="1"/>
                      <wps:spPr>
                        <a:xfrm>
                          <a:ext cx="1280160" cy="103505"/>
                        </a:xfrm>
                        <a:prstGeom prst="rect"/>
                        <a:noFill/>
                      </wps:spPr>
                      <wps:txbx>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BEBEB"/>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7" type="#_x0000_t202" style="position:absolute;margin-left:245.40000000000001pt;margin-top:36.450000000000003pt;width:100.8pt;height:8.1500000000000004pt;z-index:251657737;mso-wrap-distance-left:0;mso-wrap-distance-right:0;mso-position-horizontal-relative:page" filled="f" stroked="f">
                <v:textbox inset="0,0,0,0">
                  <w:txbxContent>
                    <w:p>
                      <w:pPr>
                        <w:pStyle w:val="Style21"/>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Arial" w:eastAsia="Arial" w:hAnsi="Arial" w:cs="Arial"/>
                          <w:b w:val="0"/>
                          <w:bCs w:val="0"/>
                          <w:color w:val="EBEBEB"/>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3074035</wp:posOffset>
                </wp:positionH>
                <wp:positionV relativeFrom="paragraph">
                  <wp:posOffset>151765</wp:posOffset>
                </wp:positionV>
                <wp:extent cx="1722120" cy="255905"/>
                <wp:wrapNone/>
                <wp:docPr id="23" name="Shape 23"/>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21"/>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9" type="#_x0000_t202" style="position:absolute;margin-left:242.05000000000001pt;margin-top:11.950000000000001pt;width:135.59999999999999pt;height:20.150000000000002pt;z-index:251657739;mso-wrap-distance-left:0;mso-wrap-distance-right:0;mso-position-horizontal-relative:page" filled="f" stroked="f">
                <v:textbox inset="0,0,0,0">
                  <w:txbxContent>
                    <w:p>
                      <w:pPr>
                        <w:pStyle w:val="Style21"/>
                        <w:keepNext w:val="0"/>
                        <w:keepLines w:val="0"/>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z w:val="24"/>
          <w:szCs w:val="24"/>
          <w:shd w:val="clear" w:color="auto" w:fill="auto"/>
          <w:lang w:val="ru-RU" w:eastAsia="ru-RU" w:bidi="ru-RU"/>
        </w:rPr>
        <w:t>А.С. Вишнякова</w:t>
      </w:r>
    </w:p>
    <w:p>
      <w:pPr>
        <w:pStyle w:val="Style31"/>
        <w:keepNext w:val="0"/>
        <w:keepLines w:val="0"/>
        <w:widowControl w:val="0"/>
        <w:shd w:val="clear" w:color="auto" w:fill="auto"/>
        <w:bidi w:val="0"/>
        <w:spacing w:before="0" w:after="0" w:line="266" w:lineRule="auto"/>
        <w:ind w:right="0" w:firstLine="0"/>
        <w:jc w:val="left"/>
      </w:pPr>
      <w:r>
        <w:rPr>
          <w:color w:val="000000"/>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z w:val="11"/>
          <w:szCs w:val="11"/>
          <w:shd w:val="clear" w:color="auto" w:fill="auto"/>
          <w:lang w:val="ru-RU" w:eastAsia="ru-RU" w:bidi="ru-RU"/>
        </w:rPr>
        <w:t xml:space="preserve">Вишнякова Александра Сергеевна </w:t>
      </w: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4ЕВ9ЕЕВВЕА345ЕЕЕВО657Е958265СС1</w:t>
      </w:r>
      <w:r>
        <w:rPr>
          <w:color w:val="000000"/>
          <w:spacing w:val="0"/>
          <w:w w:val="100"/>
          <w:position w:val="0"/>
          <w:shd w:val="clear" w:color="auto" w:fill="auto"/>
          <w:lang w:val="ru-RU" w:eastAsia="ru-RU" w:bidi="ru-RU"/>
        </w:rPr>
        <w:t>1</w:t>
      </w:r>
    </w:p>
    <w:p>
      <w:pPr>
        <w:pStyle w:val="Style31"/>
        <w:keepNext w:val="0"/>
        <w:keepLines w:val="0"/>
        <w:widowControl w:val="0"/>
        <w:shd w:val="clear" w:color="auto" w:fill="auto"/>
        <w:bidi w:val="0"/>
        <w:spacing w:before="0" w:after="1480" w:line="266" w:lineRule="auto"/>
        <w:ind w:right="0" w:firstLine="0"/>
        <w:jc w:val="left"/>
      </w:pPr>
      <w:r>
        <w:rPr>
          <w:color w:val="6D6D6D"/>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D6D6D"/>
          <w:spacing w:val="0"/>
          <w:w w:val="100"/>
          <w:position w:val="0"/>
          <w:shd w:val="clear" w:color="auto" w:fill="auto"/>
          <w:lang w:val="ru-RU" w:eastAsia="ru-RU" w:bidi="ru-RU"/>
        </w:rPr>
        <w:t>28.1</w:t>
      </w:r>
      <w:r>
        <w:rPr>
          <w:color w:val="969696"/>
          <w:spacing w:val="0"/>
          <w:w w:val="100"/>
          <w:position w:val="0"/>
          <w:shd w:val="clear" w:color="auto" w:fill="auto"/>
          <w:lang w:val="ru-RU" w:eastAsia="ru-RU" w:bidi="ru-RU"/>
        </w:rPr>
        <w:t>1</w:t>
      </w:r>
      <w:r>
        <w:rPr>
          <w:spacing w:val="0"/>
          <w:w w:val="100"/>
          <w:position w:val="0"/>
          <w:shd w:val="clear" w:color="auto" w:fill="auto"/>
          <w:lang w:val="ru-RU" w:eastAsia="ru-RU" w:bidi="ru-RU"/>
        </w:rPr>
        <w:t xml:space="preserve">.2022 </w:t>
      </w:r>
      <w:r>
        <w:rPr>
          <w:color w:val="6D6D6D"/>
          <w:spacing w:val="0"/>
          <w:w w:val="100"/>
          <w:position w:val="0"/>
          <w:shd w:val="clear" w:color="auto" w:fill="auto"/>
          <w:lang w:val="ru-RU" w:eastAsia="ru-RU" w:bidi="ru-RU"/>
        </w:rPr>
        <w:t>по 21</w:t>
      </w:r>
      <w:r>
        <w:rPr>
          <w:spacing w:val="0"/>
          <w:w w:val="100"/>
          <w:position w:val="0"/>
          <w:shd w:val="clear" w:color="auto" w:fill="auto"/>
          <w:lang w:val="ru-RU" w:eastAsia="ru-RU" w:bidi="ru-RU"/>
        </w:rPr>
        <w:t>.02.2024</w:t>
      </w:r>
    </w:p>
    <w:p>
      <w:pPr>
        <w:pStyle w:val="Style15"/>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Исп.Вишнякова А.С.</w:t>
      </w:r>
    </w:p>
    <w:p>
      <w:pPr>
        <w:pStyle w:val="Style15"/>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тел.(863) 240-86-88, вн.161-132</w:t>
      </w:r>
    </w:p>
    <w:sectPr>
      <w:footnotePr>
        <w:pos w:val="pageBottom"/>
        <w:numFmt w:val="decimal"/>
        <w:numRestart w:val="continuous"/>
      </w:footnotePr>
      <w:type w:val="continuous"/>
      <w:pgSz w:w="11900" w:h="16840"/>
      <w:pgMar w:top="1134" w:right="541" w:bottom="100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10176510</wp:posOffset>
              </wp:positionV>
              <wp:extent cx="648970" cy="100330"/>
              <wp:wrapNone/>
              <wp:docPr id="1" name="Shape 1"/>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pt;margin-top:801.30000000000007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5"/>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2023-8104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4)_"/>
    <w:basedOn w:val="DefaultParagraphFont"/>
    <w:link w:val="Style2"/>
    <w:rPr>
      <w:rFonts w:ascii="Times New Roman" w:eastAsia="Times New Roman" w:hAnsi="Times New Roman" w:cs="Times New Roman"/>
      <w:b w:val="0"/>
      <w:bCs w:val="0"/>
      <w:i w:val="0"/>
      <w:iCs w:val="0"/>
      <w:smallCaps w:val="0"/>
      <w:strike w:val="0"/>
      <w:color w:val="4561A2"/>
      <w:sz w:val="16"/>
      <w:szCs w:val="16"/>
      <w:u w:val="none"/>
    </w:rPr>
  </w:style>
  <w:style w:type="character" w:customStyle="1" w:styleId="CharStyle6">
    <w:name w:val="Колонтитул (2)_"/>
    <w:basedOn w:val="DefaultParagraphFont"/>
    <w:link w:val="Style5"/>
    <w:rPr>
      <w:rFonts w:ascii="Times New Roman" w:eastAsia="Times New Roman" w:hAnsi="Times New Roman" w:cs="Times New Roman"/>
      <w:b w:val="0"/>
      <w:bCs w:val="0"/>
      <w:i w:val="0"/>
      <w:iCs w:val="0"/>
      <w:smallCaps w:val="0"/>
      <w:strike w:val="0"/>
      <w:sz w:val="20"/>
      <w:szCs w:val="20"/>
      <w:u w:val="none"/>
    </w:rPr>
  </w:style>
  <w:style w:type="character" w:customStyle="1" w:styleId="CharStyle9">
    <w:name w:val="Основной текст (3)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1_"/>
    <w:basedOn w:val="DefaultParagraphFont"/>
    <w:link w:val="Style12"/>
    <w:rPr>
      <w:rFonts w:ascii="Times New Roman" w:eastAsia="Times New Roman" w:hAnsi="Times New Roman" w:cs="Times New Roman"/>
      <w:b w:val="0"/>
      <w:bCs w:val="0"/>
      <w:i w:val="0"/>
      <w:iCs w:val="0"/>
      <w:smallCaps w:val="0"/>
      <w:strike w:val="0"/>
      <w:sz w:val="30"/>
      <w:szCs w:val="30"/>
      <w:u w:val="single"/>
    </w:rPr>
  </w:style>
  <w:style w:type="character" w:customStyle="1" w:styleId="CharStyle16">
    <w:name w:val="Основной текст (5)_"/>
    <w:basedOn w:val="DefaultParagraphFont"/>
    <w:link w:val="Style15"/>
    <w:rPr>
      <w:rFonts w:ascii="Times New Roman" w:eastAsia="Times New Roman" w:hAnsi="Times New Roman" w:cs="Times New Roman"/>
      <w:b w:val="0"/>
      <w:bCs w:val="0"/>
      <w:i w:val="0"/>
      <w:iCs w:val="0"/>
      <w:smallCaps w:val="0"/>
      <w:strike w:val="0"/>
      <w:sz w:val="18"/>
      <w:szCs w:val="18"/>
      <w:u w:val="none"/>
    </w:rPr>
  </w:style>
  <w:style w:type="character" w:customStyle="1" w:styleId="CharStyle19">
    <w:name w:val="Основной текст_"/>
    <w:basedOn w:val="DefaultParagraphFont"/>
    <w:link w:val="Style18"/>
    <w:rPr>
      <w:rFonts w:ascii="Times New Roman" w:eastAsia="Times New Roman" w:hAnsi="Times New Roman" w:cs="Times New Roman"/>
      <w:b w:val="0"/>
      <w:bCs w:val="0"/>
      <w:i w:val="0"/>
      <w:iCs w:val="0"/>
      <w:smallCaps w:val="0"/>
      <w:strike w:val="0"/>
      <w:u w:val="none"/>
    </w:rPr>
  </w:style>
  <w:style w:type="character" w:customStyle="1" w:styleId="CharStyle22">
    <w:name w:val="Подпись к картинке_"/>
    <w:basedOn w:val="DefaultParagraphFont"/>
    <w:link w:val="Style21"/>
    <w:rPr>
      <w:rFonts w:ascii="Times New Roman" w:eastAsia="Times New Roman" w:hAnsi="Times New Roman" w:cs="Times New Roman"/>
      <w:b/>
      <w:bCs/>
      <w:i w:val="0"/>
      <w:iCs w:val="0"/>
      <w:smallCaps w:val="0"/>
      <w:strike w:val="0"/>
      <w:color w:val="212121"/>
      <w:sz w:val="11"/>
      <w:szCs w:val="11"/>
      <w:u w:val="none"/>
    </w:rPr>
  </w:style>
  <w:style w:type="character" w:customStyle="1" w:styleId="CharStyle28">
    <w:name w:val="Другое_"/>
    <w:basedOn w:val="DefaultParagraphFont"/>
    <w:link w:val="Style27"/>
    <w:rPr>
      <w:rFonts w:ascii="Times New Roman" w:eastAsia="Times New Roman" w:hAnsi="Times New Roman" w:cs="Times New Roman"/>
      <w:b w:val="0"/>
      <w:bCs w:val="0"/>
      <w:i w:val="0"/>
      <w:iCs w:val="0"/>
      <w:smallCaps w:val="0"/>
      <w:strike w:val="0"/>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454545"/>
      <w:sz w:val="12"/>
      <w:szCs w:val="12"/>
      <w:u w:val="none"/>
    </w:rPr>
  </w:style>
  <w:style w:type="paragraph" w:customStyle="1" w:styleId="Style2">
    <w:name w:val="Основной текст (4)"/>
    <w:basedOn w:val="Normal"/>
    <w:link w:val="CharStyle3"/>
    <w:pPr>
      <w:widowControl w:val="0"/>
      <w:shd w:val="clear" w:color="auto" w:fill="auto"/>
      <w:spacing w:line="276" w:lineRule="auto"/>
      <w:jc w:val="center"/>
    </w:pPr>
    <w:rPr>
      <w:rFonts w:ascii="Times New Roman" w:eastAsia="Times New Roman" w:hAnsi="Times New Roman" w:cs="Times New Roman"/>
      <w:b w:val="0"/>
      <w:bCs w:val="0"/>
      <w:i w:val="0"/>
      <w:iCs w:val="0"/>
      <w:smallCaps w:val="0"/>
      <w:strike w:val="0"/>
      <w:color w:val="4561A2"/>
      <w:sz w:val="16"/>
      <w:szCs w:val="16"/>
      <w:u w:val="none"/>
    </w:rPr>
  </w:style>
  <w:style w:type="paragraph" w:customStyle="1" w:styleId="Style5">
    <w:name w:val="Колонтитул (2)"/>
    <w:basedOn w:val="Normal"/>
    <w:link w:val="CharStyle6"/>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8">
    <w:name w:val="Основной текст (3)"/>
    <w:basedOn w:val="Normal"/>
    <w:link w:val="CharStyle9"/>
    <w:pPr>
      <w:widowControl w:val="0"/>
      <w:shd w:val="clear" w:color="auto" w:fill="auto"/>
      <w:spacing w:after="200"/>
      <w:ind w:firstLine="420"/>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1"/>
    <w:basedOn w:val="Normal"/>
    <w:link w:val="CharStyle13"/>
    <w:pPr>
      <w:widowControl w:val="0"/>
      <w:shd w:val="clear" w:color="auto" w:fill="auto"/>
      <w:spacing w:after="320"/>
      <w:jc w:val="center"/>
      <w:outlineLvl w:val="0"/>
    </w:pPr>
    <w:rPr>
      <w:rFonts w:ascii="Times New Roman" w:eastAsia="Times New Roman" w:hAnsi="Times New Roman" w:cs="Times New Roman"/>
      <w:b w:val="0"/>
      <w:bCs w:val="0"/>
      <w:i w:val="0"/>
      <w:iCs w:val="0"/>
      <w:smallCaps w:val="0"/>
      <w:strike w:val="0"/>
      <w:sz w:val="30"/>
      <w:szCs w:val="30"/>
      <w:u w:val="single"/>
    </w:rPr>
  </w:style>
  <w:style w:type="paragraph" w:customStyle="1" w:styleId="Style15">
    <w:name w:val="Основной текст (5)"/>
    <w:basedOn w:val="Normal"/>
    <w:link w:val="CharStyle16"/>
    <w:pPr>
      <w:widowControl w:val="0"/>
      <w:shd w:val="clear" w:color="auto" w:fill="auto"/>
      <w:spacing w:after="30" w:line="252" w:lineRule="auto"/>
    </w:pPr>
    <w:rPr>
      <w:rFonts w:ascii="Times New Roman" w:eastAsia="Times New Roman" w:hAnsi="Times New Roman" w:cs="Times New Roman"/>
      <w:b w:val="0"/>
      <w:bCs w:val="0"/>
      <w:i w:val="0"/>
      <w:iCs w:val="0"/>
      <w:smallCaps w:val="0"/>
      <w:strike w:val="0"/>
      <w:sz w:val="18"/>
      <w:szCs w:val="18"/>
      <w:u w:val="none"/>
    </w:rPr>
  </w:style>
  <w:style w:type="paragraph" w:customStyle="1" w:styleId="Style18">
    <w:name w:val="Основной текст"/>
    <w:basedOn w:val="Normal"/>
    <w:link w:val="CharStyle19"/>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1">
    <w:name w:val="Подпись к картинке"/>
    <w:basedOn w:val="Normal"/>
    <w:link w:val="CharStyle22"/>
    <w:pPr>
      <w:widowControl w:val="0"/>
      <w:shd w:val="clear" w:color="auto" w:fill="auto"/>
    </w:pPr>
    <w:rPr>
      <w:rFonts w:ascii="Times New Roman" w:eastAsia="Times New Roman" w:hAnsi="Times New Roman" w:cs="Times New Roman"/>
      <w:b/>
      <w:bCs/>
      <w:i w:val="0"/>
      <w:iCs w:val="0"/>
      <w:smallCaps w:val="0"/>
      <w:strike w:val="0"/>
      <w:color w:val="212121"/>
      <w:sz w:val="11"/>
      <w:szCs w:val="11"/>
      <w:u w:val="none"/>
    </w:rPr>
  </w:style>
  <w:style w:type="paragraph" w:customStyle="1" w:styleId="Style27">
    <w:name w:val="Другое"/>
    <w:basedOn w:val="Normal"/>
    <w:link w:val="CharStyle2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31">
    <w:name w:val="Основной текст (2)"/>
    <w:basedOn w:val="Normal"/>
    <w:link w:val="CharStyle32"/>
    <w:pPr>
      <w:widowControl w:val="0"/>
      <w:shd w:val="clear" w:color="auto" w:fill="auto"/>
      <w:ind w:left="3100"/>
    </w:pPr>
    <w:rPr>
      <w:rFonts w:ascii="Arial" w:eastAsia="Arial" w:hAnsi="Arial" w:cs="Arial"/>
      <w:b w:val="0"/>
      <w:bCs w:val="0"/>
      <w:i w:val="0"/>
      <w:iCs w:val="0"/>
      <w:smallCaps w:val="0"/>
      <w:strike w:val="0"/>
      <w:color w:val="454545"/>
      <w:sz w:val="12"/>
      <w:szCs w:val="1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image" Target="media/image1.jpeg"/><Relationship Id="rId7" Type="http://schemas.openxmlformats.org/officeDocument/2006/relationships/image" Target="media/image1.jpeg" TargetMode="External"/><Relationship Id="rId8" Type="http://schemas.openxmlformats.org/officeDocument/2006/relationships/image" Target="media/image2.jpeg"/><Relationship Id="rId9" Type="http://schemas.openxmlformats.org/officeDocument/2006/relationships/image" Target="media/image2.jpeg" TargetMode="External"/><Relationship Id="rId10" Type="http://schemas.openxmlformats.org/officeDocument/2006/relationships/image" Target="media/image3.jpeg"/><Relationship Id="rId11" Type="http://schemas.openxmlformats.org/officeDocument/2006/relationships/image" Target="media/image3.jpeg" TargetMode="External"/></Relationships>
</file>