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584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/>
          <w:bCs/>
          <w:color w:val="1C1C7C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0"/>
        <w:jc w:val="center"/>
        <w:rPr>
          <w:sz w:val="18"/>
          <w:szCs w:val="18"/>
        </w:rPr>
      </w:pPr>
      <w:r>
        <w:rPr>
          <w:i w:val="0"/>
          <w:iCs w:val="0"/>
          <w:color w:val="1D1B46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ул. К. Либкнехта, 2, г. Архангельск, 163000</w:t>
        <w:br/>
        <w:t>Тел.: (8182) 20-73-21, факс: (8182) 21-54-45</w:t>
        <w:br/>
        <w:t>е-таИ: Го29@Гач.§оу.ги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2160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ab/>
      </w:r>
      <w:r>
        <w:rPr>
          <w:color w:val="1D1B46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№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128фз-23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029/06/42-354/2023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ФГБУЗ «Центральная медико- санитарная часть №58 Федеральное медико-биологического агентства»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164502, Архангельская обл.,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г. Северодвинск, ул. Кирилкина, д. 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69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Е-шаП: ст8с1158@шес158.ги, хоппа.к1@тес158.ги, 1т(@тес158.ги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Шевченко, д. 23А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69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Е-шаП: ко@г18-1епс1ег.ги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Васина Юлия Геннадьевна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068" w:right="834" w:bottom="827" w:left="1356" w:header="640" w:footer="399" w:gutter="0"/>
          <w:pgNumType w:start="1"/>
          <w:cols w:num="2" w:space="720" w:equalWidth="0">
            <w:col w:w="4781" w:space="666"/>
            <w:col w:w="426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Е-таИ: уа8та1203@тай.ги</w: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6" w:right="0" w:bottom="83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5941060</wp:posOffset>
                </wp:positionH>
                <wp:positionV relativeFrom="paragraph">
                  <wp:posOffset>12700</wp:posOffset>
                </wp:positionV>
                <wp:extent cx="1060450" cy="180340"/>
                <wp:wrapSquare wrapText="left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0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Архангельск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67.80000000000001pt;margin-top:1.pt;width:83.5pt;height:14.2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Архангельск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03 мая 2023 года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69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80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3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2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закупок;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71" w:lineRule="auto"/>
        <w:ind w:left="0" w:right="0" w:firstLine="78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Вознесенская Н.В. 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Романова Д.С. 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71" w:lineRule="auto"/>
        <w:ind w:left="0" w:right="0" w:firstLine="78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 от: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Заявителя: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Карелиной Е.Г. (доверенность от 02.05.2023);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Заказчика: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Шумовской А.Н. (доверенность от 01.12.2022 № б/н);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64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 апреля 2023 года в Архангельское УФАС России - уполномоченный федеральный орган исполнительной власти, осуществляющий контроль в сфере закупок,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155" w:val="left"/>
        </w:tabs>
        <w:bidi w:val="0"/>
        <w:spacing w:before="0" w:after="26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Ц2/6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поступила жалоба ИП Васиной Юлии Геннадьевны (далее - Заявитель) на действия заказчика - ФГБУЗ «Центральная медико-санитарная часть №58 Федеральное медико</w:t>
        <w:softHyphen/>
        <w:t>биологического агентства» (далее - Заказчик), при проведении электронного аукциона на право заключения государственного контракта на поставку медицинского оборудования (каталка больничная) (извещение №0324100001123000150).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Содержание жалобы: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Обжалуются действия Заказчика в связи с размещением извещения, не 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02.05.2023.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17.04.2023 Заказчиком на официальном сайте единой информационной системы в сфере закупок в сети Интернет 11Пр://2акирк1.доу.ги размещено извещение №0324100001123000150 о проведении электронного аукциона на право заключения государственного контракта на поставку медицинского оборудования (каталка больничная)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государственного контракта - 2 994 000,00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в совокупности всех установленных характеристик в описании объекта закупки поставка товара «каталка больничная» ограничена одним производителем Ьо]ег, Финляндия. Заявителем в жалобе представлена сравнительная таблица по характеристикам, установленным в «Описании объекта закупки», по товару 2 производителей (Ьо)ег, Финляндия, ООО «СТАВРО-МЕД», Россия).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ФЗ «О контрактной системе» установлено, что извещение об осуществлении закупки должно содержать электронный документ: описание объекта закупки в соответствии с положениями статьи 33 указанного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1 части 1 статьи 33 ФЗ «О контрактной системе» Заказчик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осуществлении закупки Заказчик вправе не только выбрать ее предмет, но и обязан определить его и описать в соответствии с нормами ФЗ «О контрактной системе» именно таким образом, чтобы участник закупки смог подать заявку на участие в торгах, соответствующую объективным и обоснованным требованиям Заказчика. При этом заказчик вправе в необходимой степени детализировать требования к товару, так как ФЗ «О контрактной системе» не содержит норм, ограничивающих право заказчика включать в документацию об аукционе требования к объекту закупки, которые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202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 xml:space="preserve">33/6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являются для него значимыми, а также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Файл «Описание объекта закупки», являющийся неотъемлемой частью Извещения (далее - Описание объекта закупки), содержит таблицу, в которой установлены требования к товару «Каталка больничная 32.50.50.190-00002475», в том числе:</w:t>
      </w:r>
    </w:p>
    <w:tbl>
      <w:tblPr>
        <w:tblOverlap w:val="never"/>
        <w:jc w:val="center"/>
        <w:tblLayout w:type="fixed"/>
      </w:tblPr>
      <w:tblGrid>
        <w:gridCol w:w="6739"/>
        <w:gridCol w:w="2909"/>
      </w:tblGrid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Высота ложа каталки в нижнем положении без учета матраца, мм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560 и не более 565</w:t>
            </w:r>
          </w:p>
        </w:tc>
      </w:tr>
      <w:tr>
        <w:trPr>
          <w:trHeight w:val="42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Высота ложа каталки в верхнем положении без учета матраца, 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890 и не более 930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в заседании Комиссии Архангельского УФАС России пояснил, что формировании Описания объекта закупки Заказчик исходит, в том числе из своих потребностей и специфики работы в тех или иных отделениях. Данные каталки будут использоваться в приёмном отделении для пациентов с ОНМК (острое нарушение мозгового кровообращения), в операционном блоке после проведения операций на сердце и сосудах, в том числе на открытом сердце, отделениях реанимации и кардиологической реанимации. К такому оборудованию предъявляются более строгие требования. Вместе с тем, по каталке-аналогу производителя ООО «СТАВРО-МЕД», указанной в сравнительной таблице в жалобе, Заказчик выявил несоответствия: данная каталка не соответствует Описанию объекта закупки не только по характеристикам «Высота ложа каталки в нижнем положении без учета матраца», «Высота ложа каталки в верхнем положении без учета матраца», но и по другим характеристикам: «Рукоятка регулировки Тренделенбург, антиТренделенбург», центральная система блокировки всех колес со стороны головной части посредством педалей типа бабочка на каждым из колес головной части», «Положения педали управления колес: свободное вращение, блокировка, фиксация по направлению движения», «Кожух из АВЗ-пластика, закрывающий металлические части нижней рамы каталки», «Защитный кожух имеет интегрированную в свою структуру емкость для расположения личных вещей пациента, расположение емкости со стороны ножной части каталки».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представлена сравнительная таблица, согласно которой требованиям, установленным в Описании объекта закупки, подходит товар «каталка больничная» двух производителей Ьо)ег, Финляндия и 1лпе1, Республика Чехия.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материалы дела, Комиссия Архангельского УФАС России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общему правилу 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 (п.1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28.06.2017)).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заказчиком числа участников торгов.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69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6" w:right="843" w:bottom="830" w:left="1348" w:header="108" w:footer="40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Включение в техническое задание спорной характеристики товара, обусловленной его спецификой не может рассматриваться как нарушение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установил требования к оборудованию, исходя из своей потребности, из назначения такого оборудования, а также с учетом наличия требований технических регламентов, принятых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не усматривает, что осуществление закупки производится среди производителей товара. В аукционе может участвовать неограниченное количество поставщиков. Участником закупки может выступать любое лицо, готовое поставить товар, отвечающий требованиям Извещения и требованиям Заказчика. Объективные причины невозможности приобретения товара с требуемыми Заказчику характеристиками Заявителем не представлены.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материалах дела отсутствуют доказательства того, что установление указанных в Извещении требований фактически ограничивает число потенциальных участников данной закупки, создает одним участникам закупки преимущество перед другими. Как подтверждается материалами дела, начальная (максимальная) цена контракта определена на основании 3-х коммерческих предложений, в которых содержатся предложения товара по 2м производителям: Ьо)ег, Финляндия и 1лпе1, Республика Чехия.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Заказчика в заседании Комиссии Архангельского УФАС России сообщил, что было подано две заявки, которые соответствуют требованиям Извещения и содержат предложения товара 2х производителей: Ьо)ег, Финляндия и Ыпе1, Республика Чехия.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участником закупки могло выступить любое лицо, в том числе и не являющееся производителем требуемого к поставке товара, готовое поставить товар, отвечающий требованиям Извещения и удовлетворяющий потребности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вышеизложенного, Комиссия Архангельского УФАС России приходит к выводу о том, что Заказчик при формировании при описания объекта закупки руководствуется объективными потребностями и при этом соблюдает условия о недопущении ограничения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при описании объекта закупки не нарушены положения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на заседание Комиссии Архангельского УФАС России Заявителем в жалобе не представлены документы и сведения о наличии препятствий при формировании и подаче заявки с учетом требований Извещения к составу заявки.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 факт ограничения количества участников закупки Комиссией Архангельского УФАС России не установлен.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жалобы Заявителя следует, что в Описании объекта закупки Заказчиком установлены дополнительные характеристики товара, не предусмотренные КТРУ, без обоснования их необходимости.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6 статьи 23 ФЗ «О контрактной системе»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69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пункта 4 Правила следует, что заказчики обязаны применять информацию, включенную в позицию каталога в соответствии с подпунктами «б» - «и»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299" w:val="left"/>
          <w:tab w:leader="underscore" w:pos="9205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ab/>
        <w:tab/>
      </w:r>
      <w:r>
        <w:rPr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 xml:space="preserve">^5/6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обеспечения государственных и муниципальных нужд»,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5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5 Правил указано, что заказчик вправе указать в плане закупок, плане- 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ФЗ «О контрактной системе», которые не предусмотрены в позиции каталога.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6 Правил в случае предоставления иной и дополнительной информации, предусмотренной пунктом 5 указанных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Заказчиком в отношении закупаемого товара установлены код КТРУ 32.50.50.190-00002475.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таблице Описания объекта закупки установлены дополнительные характеристики товара, не предусмотренные вышеназванной позицией КТРУ,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конце таблицы содержит сноску «*В связи с тем, что характеристики Товара, указанные в КТРУ не позволяют определить соответствие Товара, предлагаемого к поставке, Заказчиком принято решение об уточнении описания технических характеристик Товара, имеющих существенное значение для Заказчика. Обоснование использования дополнительных характеристик в соответствии с п.6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года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и обусловлены потребностями заказчика в части технических и качественных характеристик объекта закупки, являющихся значимыми в целях оказания квалифицированной медицинской помощи, необходимостью обеспечения получения достоверного результата при оптимальных условиях».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Следует отметить, что действующее законодательство не предусматривает каких- либо требований к форме и содержанию обоснования включения дополнительных характеристик в описание объекта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Архангельского УФАС России, проанализировав материалы дела, приходит к выводу о том, что Заказчиком в полной мере исполнены требования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145. В Описании объекта закупки дополнительные характеристики имеют обоснование применения.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вышеизложенный довод жалобы не находит своего подтверждения.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РЕШИЛА: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Васиной Юлии Геннадьевны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6091" w:val="left"/>
          <w:tab w:pos="7834" w:val="left"/>
        </w:tabs>
        <w:bidi w:val="0"/>
        <w:spacing w:before="0" w:after="480" w:line="254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  <w:tab/>
      </w:r>
      <w:r>
        <w:rPr>
          <w:color w:val="1D1B46"/>
          <w:spacing w:val="0"/>
          <w:w w:val="100"/>
          <w:position w:val="0"/>
          <w:shd w:val="clear" w:color="auto" w:fill="auto"/>
          <w:lang w:val="ru-RU" w:eastAsia="ru-RU" w:bidi="ru-RU"/>
        </w:rPr>
        <w:t>/У</w:t>
        <w:tab/>
        <w:t>//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907415</wp:posOffset>
                </wp:positionH>
                <wp:positionV relativeFrom="margin">
                  <wp:posOffset>2275205</wp:posOffset>
                </wp:positionV>
                <wp:extent cx="1223010" cy="173990"/>
                <wp:wrapSquare wrapText="righ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30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71.450000000000003pt;margin-top:179.15000000000001pt;width:96.299999999999997pt;height:13.700000000000001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2774315</wp:posOffset>
            </wp:positionH>
            <wp:positionV relativeFrom="margin">
              <wp:posOffset>1216660</wp:posOffset>
            </wp:positionV>
            <wp:extent cx="2700655" cy="151193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00655" cy="15119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Н.В. Вознесенская </w:t>
      </w:r>
      <w:r>
        <w:rPr>
          <w:b/>
          <w:bCs/>
          <w:i/>
          <w:iCs/>
          <w:color w:val="1C1C7C"/>
          <w:spacing w:val="0"/>
          <w:w w:val="100"/>
          <w:position w:val="0"/>
          <w:shd w:val="clear" w:color="auto" w:fill="auto"/>
          <w:lang w:val="ru-RU" w:eastAsia="ru-RU" w:bidi="ru-RU"/>
        </w:rPr>
        <w:t>ом-СсМ^/0</w:t>
      </w:r>
      <w:r>
        <w:rPr>
          <w:b/>
          <w:bCs/>
          <w:color w:val="1C1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Д.С. Романова</w:t>
      </w:r>
    </w:p>
    <w:sectPr>
      <w:headerReference w:type="default" r:id="rId9"/>
      <w:headerReference w:type="even" r:id="rId10"/>
      <w:headerReference w:type="first" r:id="rId11"/>
      <w:footnotePr>
        <w:pos w:val="pageBottom"/>
        <w:numFmt w:val="decimal"/>
        <w:numRestart w:val="continuous"/>
      </w:footnotePr>
      <w:pgSz w:w="11900" w:h="16840"/>
      <w:pgMar w:top="536" w:right="843" w:bottom="830" w:left="1348" w:header="0" w:footer="3" w:gutter="0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6736715</wp:posOffset>
              </wp:positionH>
              <wp:positionV relativeFrom="page">
                <wp:posOffset>172085</wp:posOffset>
              </wp:positionV>
              <wp:extent cx="219710" cy="10541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971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336/6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30.45000000000005pt;margin-top:13.550000000000001pt;width:17.300000000000001pt;height:8.3000000000000007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336/6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907415</wp:posOffset>
              </wp:positionH>
              <wp:positionV relativeFrom="page">
                <wp:posOffset>310515</wp:posOffset>
              </wp:positionV>
              <wp:extent cx="607377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3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450000000000003pt;margin-top:24.449999999999999pt;width:478.2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6742430</wp:posOffset>
              </wp:positionH>
              <wp:positionV relativeFrom="page">
                <wp:posOffset>167640</wp:posOffset>
              </wp:positionV>
              <wp:extent cx="224155" cy="10985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34/6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30.89999999999998pt;margin-top:13.200000000000001pt;width:17.650000000000002pt;height:8.6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34/6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913130</wp:posOffset>
              </wp:positionH>
              <wp:positionV relativeFrom="page">
                <wp:posOffset>313690</wp:posOffset>
              </wp:positionV>
              <wp:extent cx="6073775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3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900000000000006pt;margin-top:24.699999999999999pt;width:478.2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7C"/>
      <w:sz w:val="26"/>
      <w:szCs w:val="26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4">
    <w:name w:val="Колонтитул (2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71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3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7C"/>
      <w:sz w:val="26"/>
      <w:szCs w:val="26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400" w:line="257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60" w:line="266" w:lineRule="auto"/>
      <w:ind w:firstLine="36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auto"/>
      <w:spacing w:line="271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3">
    <w:name w:val="Колонтитул (2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/Relationships>
</file>