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1780540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728980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399999999999999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732155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728980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399999999999999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Общества с ограниченной ответственностью «Ладья»</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640023, г. Курган, мкр. 6-й, д. 20, к. 1, кв. 5</w:t>
      </w:r>
    </w:p>
    <w:p>
      <w:pPr>
        <w:pStyle w:val="Style10"/>
        <w:keepNext w:val="0"/>
        <w:keepLines w:val="0"/>
        <w:widowControl w:val="0"/>
        <w:shd w:val="clear" w:color="auto" w:fill="auto"/>
        <w:bidi w:val="0"/>
        <w:spacing w:before="0" w:after="280" w:line="240" w:lineRule="auto"/>
        <w:ind w:left="1000" w:right="0" w:firstLine="0"/>
        <w:jc w:val="left"/>
      </w:pPr>
      <w:r>
        <w:rPr>
          <w:color w:val="000000"/>
          <w:spacing w:val="0"/>
          <w:w w:val="100"/>
          <w:position w:val="0"/>
          <w:shd w:val="clear" w:color="auto" w:fill="auto"/>
          <w:lang w:val="ru-RU" w:eastAsia="ru-RU" w:bidi="ru-RU"/>
        </w:rPr>
        <w:t>Готт\л@1е!о45.п1</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640003, Курганская область, г. Курган, ул. Р. Зорге, д. 20, оф. 1</w:t>
      </w:r>
    </w:p>
    <w:p>
      <w:pPr>
        <w:pStyle w:val="Style10"/>
        <w:keepNext w:val="0"/>
        <w:keepLines w:val="0"/>
        <w:widowControl w:val="0"/>
        <w:shd w:val="clear" w:color="auto" w:fill="auto"/>
        <w:bidi w:val="0"/>
        <w:spacing w:before="0" w:after="280" w:line="240" w:lineRule="auto"/>
        <w:ind w:left="1000" w:right="0" w:firstLine="0"/>
        <w:jc w:val="left"/>
      </w:pPr>
      <w:r>
        <w:rPr>
          <w:color w:val="000000"/>
          <w:spacing w:val="0"/>
          <w:w w:val="100"/>
          <w:position w:val="0"/>
          <w:shd w:val="clear" w:color="auto" w:fill="auto"/>
          <w:lang w:val="ru-RU" w:eastAsia="ru-RU" w:bidi="ru-RU"/>
        </w:rPr>
        <w:t>идх@кигдапоЫ.ги</w:t>
      </w:r>
    </w:p>
    <w:p>
      <w:pPr>
        <w:pStyle w:val="Style10"/>
        <w:keepNext w:val="0"/>
        <w:keepLines w:val="0"/>
        <w:widowControl w:val="0"/>
        <w:shd w:val="clear" w:color="auto" w:fill="auto"/>
        <w:bidi w:val="0"/>
        <w:spacing w:before="0" w:after="0" w:line="240" w:lineRule="auto"/>
        <w:ind w:left="5320" w:right="0" w:hanging="4320"/>
        <w:jc w:val="left"/>
      </w:pPr>
      <w:r>
        <w:rPr>
          <w:color w:val="000000"/>
          <w:spacing w:val="0"/>
          <w:w w:val="100"/>
          <w:position w:val="0"/>
          <w:shd w:val="clear" w:color="auto" w:fill="auto"/>
          <w:lang w:val="ru-RU" w:eastAsia="ru-RU" w:bidi="ru-RU"/>
        </w:rPr>
        <w:t>Государственное бюджетное учреждение «Курганская областная больница № 2»</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640014, г. Курган, ул. Карбышева, 27</w:t>
      </w:r>
    </w:p>
    <w:p>
      <w:pPr>
        <w:pStyle w:val="Style10"/>
        <w:keepNext w:val="0"/>
        <w:keepLines w:val="0"/>
        <w:widowControl w:val="0"/>
        <w:shd w:val="clear" w:color="auto" w:fill="auto"/>
        <w:bidi w:val="0"/>
        <w:spacing w:before="0" w:after="1940" w:line="240" w:lineRule="auto"/>
        <w:ind w:left="5320" w:right="0" w:firstLine="0"/>
        <w:jc w:val="left"/>
      </w:pPr>
      <w:r>
        <w:rPr>
          <w:color w:val="000000"/>
          <w:spacing w:val="0"/>
          <w:w w:val="100"/>
          <w:position w:val="0"/>
          <w:shd w:val="clear" w:color="auto" w:fill="auto"/>
          <w:lang w:val="ru-RU" w:eastAsia="ru-RU" w:bidi="ru-RU"/>
        </w:rPr>
        <w:t>к82дЪ@тай.ги</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045/06/106-212/2023</w:t>
      </w:r>
      <w:bookmarkEnd w:id="0"/>
    </w:p>
    <w:p>
      <w:pPr>
        <w:pStyle w:val="Style16"/>
        <w:keepNext/>
        <w:keepLines/>
        <w:widowControl w:val="0"/>
        <w:shd w:val="clear" w:color="auto" w:fill="auto"/>
        <w:bidi w:val="0"/>
        <w:spacing w:before="0" w:line="240" w:lineRule="auto"/>
        <w:ind w:left="4620" w:right="0" w:hanging="3620"/>
        <w:jc w:val="left"/>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9082" w:val="left"/>
        </w:tabs>
        <w:bidi w:val="0"/>
        <w:spacing w:before="0" w:after="280" w:line="240" w:lineRule="auto"/>
        <w:ind w:left="0" w:right="0" w:firstLine="0"/>
        <w:jc w:val="left"/>
      </w:pPr>
      <w:r>
        <w:rPr>
          <w:color w:val="000000"/>
          <w:spacing w:val="0"/>
          <w:w w:val="100"/>
          <w:position w:val="0"/>
          <w:shd w:val="clear" w:color="auto" w:fill="auto"/>
          <w:lang w:val="ru-RU" w:eastAsia="ru-RU" w:bidi="ru-RU"/>
        </w:rPr>
        <w:t>03.05.2023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6"/>
        <w:keepNext/>
        <w:keepLines/>
        <w:widowControl w:val="0"/>
        <w:shd w:val="clear" w:color="auto" w:fill="auto"/>
        <w:bidi w:val="0"/>
        <w:spacing w:before="0" w:after="0" w:line="240" w:lineRule="auto"/>
        <w:ind w:left="0" w:right="0" w:firstLine="740"/>
        <w:jc w:val="both"/>
      </w:pPr>
      <w:bookmarkStart w:id="3" w:name="bookmark3"/>
      <w:r>
        <w:rPr>
          <w:color w:val="000000"/>
          <w:spacing w:val="0"/>
          <w:w w:val="100"/>
          <w:position w:val="0"/>
          <w:shd w:val="clear" w:color="auto" w:fill="auto"/>
          <w:lang w:val="ru-RU" w:eastAsia="ru-RU" w:bidi="ru-RU"/>
        </w:rPr>
        <w:t>Члены Комиссии:</w:t>
      </w:r>
      <w:bookmarkEnd w:id="3"/>
    </w:p>
    <w:p>
      <w:pPr>
        <w:pStyle w:val="Style10"/>
        <w:keepNext w:val="0"/>
        <w:keepLines w:val="0"/>
        <w:widowControl w:val="0"/>
        <w:shd w:val="clear" w:color="auto" w:fill="auto"/>
        <w:bidi w:val="0"/>
        <w:spacing w:before="0" w:after="46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9"/>
        <w:keepNext/>
        <w:keepLines/>
        <w:widowControl w:val="0"/>
        <w:shd w:val="clear" w:color="auto" w:fill="auto"/>
        <w:bidi w:val="0"/>
        <w:spacing w:before="0" w:line="240" w:lineRule="auto"/>
        <w:ind w:left="0" w:right="0" w:firstLine="0"/>
        <w:jc w:val="both"/>
      </w:pPr>
      <w:bookmarkStart w:id="5" w:name="bookmark5"/>
      <w:r>
        <w:rPr>
          <w:color w:val="000000"/>
          <w:spacing w:val="0"/>
          <w:w w:val="100"/>
          <w:position w:val="0"/>
          <w:shd w:val="clear" w:color="auto" w:fill="auto"/>
          <w:lang w:val="ru-RU" w:eastAsia="ru-RU" w:bidi="ru-RU"/>
        </w:rPr>
        <w:t>1111111111111111111111111</w:t>
      </w:r>
      <w:bookmarkEnd w:id="5"/>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Голуб А.А. - специалист 1 разряда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в отсутствии представителей Заказчиков в рамках совместного аукциона - о времени и месте рассмотрения жалобы извещены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представителей не обеспечили, ходатайств о рассмотрении жалобы в отсутствие представителей не поступало,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 Общества с ограниченной ответственностью «Ладья» (далее - ООО «Ладья»,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ходатайств о рассмотрении жалобы в отсутствие представителя не поступало,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 Колдина А.Н. (доверенность № 1 от 01.03.2023 г.),</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«Ладья» на действия Заказчика - ГБУ «Курганская областная больница № 2» при участии Уполномоченного учреждения - ГКУ «Центр закупок и бухгалтерского учета Курганской области», при осуществлении закупки путем проведения электронного аукциона на поставку продуктов питания (овощи) (извещение № 0843500000223001878),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6"/>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УСТАНОВИЛА:</w:t>
      </w:r>
      <w:bookmarkEnd w:id="7"/>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25.04.2023 г. в Курганское УФАС России поступила жалоба </w:t>
      </w:r>
      <w:r>
        <w:rPr>
          <w:color w:val="00000A"/>
          <w:spacing w:val="0"/>
          <w:w w:val="100"/>
          <w:position w:val="0"/>
          <w:shd w:val="clear" w:color="auto" w:fill="auto"/>
          <w:lang w:val="ru-RU" w:eastAsia="ru-RU" w:bidi="ru-RU"/>
        </w:rPr>
        <w:t xml:space="preserve">ООО «Ладья» (Рег. Номер 1710-ЭП/23) на действия на действия Заказчиков в рамках совместного аукциона, при участии Уполномоченного учреждения - ГКУ «Центр закупок и бухгалтерского учета Курганской области», при осуществлении закупки путем </w:t>
      </w:r>
      <w:r>
        <w:rPr>
          <w:color w:val="00000A"/>
          <w:spacing w:val="0"/>
          <w:w w:val="100"/>
          <w:position w:val="0"/>
          <w:shd w:val="clear" w:color="auto" w:fill="auto"/>
          <w:lang w:val="ru-RU" w:eastAsia="ru-RU" w:bidi="ru-RU"/>
        </w:rPr>
        <w:t>проведения совместного электронного аукциона на поставку продуктов питания (овощи) (извещение № 0843500000223001878)</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жалобы, комиссией по осуществлению закупок допущены нарушения положений Закона о контрактной системе путем неправомерного отклонения заявки ООО «Ладья» (идентификационный номер заявки - 103)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приостановить закупку на стадии подписания контракта; выдать комиссии по осуществлению закупок обязательное для исполнения предписание по признанию заявки ООО «Ладья» соответствующей требованиям.</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просит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 - Государственное казенное учреждение «Курганская областная больница № 2» </w:t>
      </w:r>
      <w:r>
        <w:rPr>
          <w:color w:val="000000"/>
          <w:spacing w:val="0"/>
          <w:w w:val="100"/>
          <w:position w:val="0"/>
          <w:shd w:val="clear" w:color="auto" w:fill="auto"/>
          <w:lang w:val="ru-RU" w:eastAsia="ru-RU" w:bidi="ru-RU"/>
        </w:rPr>
        <w:t>в в материалы дела представил пояснения на жалобу, в которых выразил свою позицию относительно доводов, изложенных в жалобе.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административным регламентом по рассмотрению жалоб, утвержденным приказом Федеральной антимонопольной службы России от 19.11.2014 г. № 727/14, ст.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11.04.2023 г. в ЕИС опубликовано извещение о проведении совместного электронного аукциона на поставку продуктов питания (овощи) (извещение № 0843500000223001878).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5 756 485 рублей 00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Заказчиками совместной закупки являются Государственное бюджетное учреждение «Межрайонная больница № 1»; Государственное бюджетное учреждение «Межрайонная больница №8»; Государственное бюджетное учреждение «Курганский областной кардиологический диспансер»; Государственное бюджетное учреждение «Катайская центральная районная больница»; Государственное бюджетное учреждение «Межрайонная больница №2»; Государственное казенное учреждение «Курганская областная психоневрологическая больница»; Государственное казенное учреждение «Шадринский областной противотуберкулезный диспансер»; Государственное бюджетное учреждение «Курганская областная специализированная инфекционная больница»; Государственное бюджетное учреждение «Курганский областной госпиталь для ветеранов войн»; Государственное бюджетное учреждение «Курганская областная детская клиническая больница имени Красного Креста»; Государственное бюджетное учреждение «Межрайонная больница № 7»; Государственное бюджетное учреждение «Межрайонная больница № 6»; Государственное бюджетное учреждение «Курганский областной кожно-венерологический диспансер»; Косударственное казенное учреждение «Шадринский областной психоневрологический диспансер»; Государственное бюджетное учреждение «Межрайонная больница № 5»; Государственное бюджетное учреждение</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«Межрайонная больница №4»; Государственное бюджетное учреждение «Межрайонная больница № 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Координатор совместной закупки выступает Государственное казенное учреждение «Курганская областная больница № 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закупки осуществляет Уполномоченное учреждение - 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 Заявителя, изложенный в жалобе, а также документы, представленные уполномоченным учреждением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21.04.2023 года комиссией по осуществлению закупок была проведена процедура подведения итогов, по результатам которой был составлен протокол подведения итогов электронного аукциона от 21.04.2023 г.</w:t>
      </w:r>
    </w:p>
    <w:p>
      <w:pPr>
        <w:pStyle w:val="Style10"/>
        <w:keepNext w:val="0"/>
        <w:keepLines w:val="0"/>
        <w:widowControl w:val="0"/>
        <w:shd w:val="clear" w:color="auto" w:fill="auto"/>
        <w:tabs>
          <w:tab w:pos="74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указанным протоколом заявка ООО «Ладья» (идентификационный номер заявки - 103) была отклонена в соответствии с подпунктом «а» пункта 1 части 5 статьи 49 Федерального закона 44-ФЗ заявка участника отклоняется на основании пункта 2 части 12 статьи 48 Федерального закона 44-ФЗ ввиду несоответствия информации и документов, предусмотренных пунктом 3 части 6 статьи 43 Федерального закона 44-ФЗ (документы, подтверждающие соответствие участника закупки дополнительным требованиям, установленным в соответствии с частью 2 статьи 31 Федерального закона 44-ФЗ), требованиям, установленным в извещении об осуществлении закупки (пункт 3 Таблицы 1 приложения к извещению «Требования к содержанию, составу заявки на участие в закупке и инструкция по её заполнению»), а именно: участником закупки в качестве подтверждения соответствия доп. требованиям, установленным в соответствии с ПП РФ 2571, представлены реестровые номера договоров на поставку продуктов питания:(2450101373820000006,</w:t>
        <w:tab/>
        <w:t>2450102626118000169,</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1450102221020000213, 1450102221020000201, 2450102626120000012), по каждому из которых цена поставленных товаров составляет менее 20 процентов начальной (максимальной) цены контракта (далее - НМЦК) (в соответствии с пунктом б части 3 ПП РФ 2571 должен быть представлен один заключенный и исполненный договор, цена которого составляет не менее 20 процентов НМЦК, а в случае проведения совместного аукциона положения, предусмотренные приложением в графе "Дополнительные требования к участникам закупки", касающиеся НМЦК, применяются к сумме начальных (максимальных) цен каждого контракта); а также участником закупки представлен Государственный контракт 2121189100072074501042062/7-21/ГПО в отношении которого отсутствует акт приемки оказанных услуг и (или) поставленных товаров, подтверждающий цену оказанных услуг и (или) поставленных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w:t>
      </w:r>
      <w:r>
        <w:rPr>
          <w:color w:val="000000"/>
          <w:spacing w:val="0"/>
          <w:w w:val="100"/>
          <w:position w:val="0"/>
          <w:shd w:val="clear" w:color="auto" w:fill="auto"/>
          <w:lang w:val="ru-RU" w:eastAsia="ru-RU" w:bidi="ru-RU"/>
        </w:rPr>
        <w:t xml:space="preserve">частью 1 статьи 31 </w:t>
      </w:r>
      <w:r>
        <w:rPr>
          <w:color w:val="000000"/>
          <w:spacing w:val="0"/>
          <w:w w:val="100"/>
          <w:position w:val="0"/>
          <w:shd w:val="clear" w:color="auto" w:fill="auto"/>
          <w:lang w:val="ru-RU" w:eastAsia="ru-RU" w:bidi="ru-RU"/>
        </w:rPr>
        <w:t xml:space="preserve">настоящего Федерального закона, </w:t>
      </w:r>
      <w:r>
        <w:rPr>
          <w:color w:val="000000"/>
          <w:spacing w:val="0"/>
          <w:w w:val="100"/>
          <w:position w:val="0"/>
          <w:shd w:val="clear" w:color="auto" w:fill="auto"/>
          <w:lang w:val="ru-RU" w:eastAsia="ru-RU" w:bidi="ru-RU"/>
        </w:rPr>
        <w:t xml:space="preserve">требования, предъявляемые к участникам закупки в соответствии с </w:t>
      </w:r>
      <w:r>
        <w:rPr>
          <w:color w:val="000000"/>
          <w:spacing w:val="0"/>
          <w:w w:val="100"/>
          <w:position w:val="0"/>
          <w:shd w:val="clear" w:color="auto" w:fill="auto"/>
          <w:lang w:val="ru-RU" w:eastAsia="ru-RU" w:bidi="ru-RU"/>
        </w:rPr>
        <w:t xml:space="preserve">частями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2.1</w:t>
      </w:r>
      <w:r>
        <w:rPr>
          <w:color w:val="000000"/>
          <w:spacing w:val="0"/>
          <w:w w:val="100"/>
          <w:position w:val="0"/>
          <w:shd w:val="clear" w:color="auto" w:fill="auto"/>
          <w:lang w:val="ru-RU" w:eastAsia="ru-RU" w:bidi="ru-RU"/>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w:t>
      </w:r>
      <w:r>
        <w:rPr>
          <w:color w:val="000000"/>
          <w:spacing w:val="0"/>
          <w:w w:val="100"/>
          <w:position w:val="0"/>
          <w:shd w:val="clear" w:color="auto" w:fill="auto"/>
          <w:lang w:val="ru-RU" w:eastAsia="ru-RU" w:bidi="ru-RU"/>
        </w:rPr>
        <w:t xml:space="preserve"> частью 1.1 статьи 31 </w:t>
      </w:r>
      <w:r>
        <w:rPr>
          <w:color w:val="000000"/>
          <w:spacing w:val="0"/>
          <w:w w:val="100"/>
          <w:position w:val="0"/>
          <w:shd w:val="clear" w:color="auto" w:fill="auto"/>
          <w:lang w:val="ru-RU" w:eastAsia="ru-RU" w:bidi="ru-RU"/>
        </w:rPr>
        <w:t>настоящего Федерального закона (при наличии такого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следующие электронный документ: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«н»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документы, подтверждающие соответствие участника закупки требованиям, установленным</w:t>
      </w:r>
      <w:r>
        <w:rPr>
          <w:color w:val="000000"/>
          <w:spacing w:val="0"/>
          <w:w w:val="100"/>
          <w:position w:val="0"/>
          <w:shd w:val="clear" w:color="auto" w:fill="auto"/>
          <w:lang w:val="ru-RU" w:eastAsia="ru-RU" w:bidi="ru-RU"/>
        </w:rPr>
        <w:t xml:space="preserve"> пунктом 1 части 1 статьи 31 </w:t>
      </w:r>
      <w:r>
        <w:rPr>
          <w:color w:val="000000"/>
          <w:spacing w:val="0"/>
          <w:w w:val="100"/>
          <w:position w:val="0"/>
          <w:shd w:val="clear" w:color="auto" w:fill="auto"/>
          <w:lang w:val="ru-RU" w:eastAsia="ru-RU" w:bidi="ru-RU"/>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r>
        <w:rPr>
          <w:color w:val="000000"/>
          <w:spacing w:val="0"/>
          <w:w w:val="100"/>
          <w:position w:val="0"/>
          <w:shd w:val="clear" w:color="auto" w:fill="auto"/>
          <w:lang w:val="ru-RU" w:eastAsia="ru-RU" w:bidi="ru-RU"/>
        </w:rPr>
        <w:t xml:space="preserve">частями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2.1 </w:t>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 если иное не предусмотрено настоящим Федеральным законом.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r>
        <w:rPr>
          <w:color w:val="000000"/>
          <w:spacing w:val="0"/>
          <w:w w:val="100"/>
          <w:position w:val="0"/>
          <w:shd w:val="clear" w:color="auto" w:fill="auto"/>
          <w:lang w:val="ru-RU" w:eastAsia="ru-RU" w:bidi="ru-RU"/>
        </w:rPr>
        <w:t>дополнительные</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требования</w:t>
      </w:r>
      <w:r>
        <w:rPr>
          <w:color w:val="000000"/>
          <w:spacing w:val="0"/>
          <w:w w:val="100"/>
          <w:position w:val="0"/>
          <w:shd w:val="clear" w:color="auto" w:fill="auto"/>
          <w:lang w:val="ru-RU" w:eastAsia="ru-RU" w:bidi="ru-RU"/>
        </w:rPr>
        <w:t>, в том числе к наличию:</w:t>
      </w:r>
    </w:p>
    <w:p>
      <w:pPr>
        <w:pStyle w:val="Style10"/>
        <w:keepNext w:val="0"/>
        <w:keepLines w:val="0"/>
        <w:widowControl w:val="0"/>
        <w:numPr>
          <w:ilvl w:val="0"/>
          <w:numId w:val="1"/>
        </w:numPr>
        <w:shd w:val="clear" w:color="auto" w:fill="auto"/>
        <w:tabs>
          <w:tab w:pos="105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0"/>
        <w:keepNext w:val="0"/>
        <w:keepLines w:val="0"/>
        <w:widowControl w:val="0"/>
        <w:numPr>
          <w:ilvl w:val="0"/>
          <w:numId w:val="1"/>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0"/>
        <w:keepNext w:val="0"/>
        <w:keepLines w:val="0"/>
        <w:widowControl w:val="0"/>
        <w:numPr>
          <w:ilvl w:val="0"/>
          <w:numId w:val="1"/>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0"/>
        <w:keepNext w:val="0"/>
        <w:keepLines w:val="0"/>
        <w:widowControl w:val="0"/>
        <w:numPr>
          <w:ilvl w:val="0"/>
          <w:numId w:val="1"/>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w:t>
      </w:r>
      <w:r>
        <w:rPr>
          <w:color w:val="000000"/>
          <w:spacing w:val="0"/>
          <w:w w:val="100"/>
          <w:position w:val="0"/>
          <w:shd w:val="clear" w:color="auto" w:fill="auto"/>
          <w:lang w:val="ru-RU" w:eastAsia="ru-RU" w:bidi="ru-RU"/>
        </w:rPr>
        <w:t xml:space="preserve"> частях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2.1 </w:t>
      </w:r>
      <w:r>
        <w:rPr>
          <w:color w:val="000000"/>
          <w:spacing w:val="0"/>
          <w:w w:val="100"/>
          <w:position w:val="0"/>
          <w:shd w:val="clear" w:color="auto" w:fill="auto"/>
          <w:lang w:val="ru-RU" w:eastAsia="ru-RU" w:bidi="ru-RU"/>
        </w:rPr>
        <w:t>настоящей статьи, устанавливается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части 4 статьи 31 Закона о контрактной системе, в случае установления Правительством Российской Федерации в соответствии с </w:t>
      </w:r>
      <w:r>
        <w:rPr>
          <w:color w:val="000000"/>
          <w:spacing w:val="0"/>
          <w:w w:val="100"/>
          <w:position w:val="0"/>
          <w:shd w:val="clear" w:color="auto" w:fill="auto"/>
          <w:lang w:val="ru-RU" w:eastAsia="ru-RU" w:bidi="ru-RU"/>
        </w:rPr>
        <w:t>частью 2</w:t>
      </w:r>
      <w:r>
        <w:rPr>
          <w:color w:val="000000"/>
          <w:spacing w:val="0"/>
          <w:w w:val="100"/>
          <w:position w:val="0"/>
          <w:shd w:val="clear" w:color="auto" w:fill="auto"/>
          <w:lang w:val="ru-RU" w:eastAsia="ru-RU" w:bidi="ru-RU"/>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Информация об установленных требованиях в соответствии с </w:t>
      </w:r>
      <w:r>
        <w:rPr>
          <w:color w:val="000000"/>
          <w:spacing w:val="0"/>
          <w:w w:val="100"/>
          <w:position w:val="0"/>
          <w:shd w:val="clear" w:color="auto" w:fill="auto"/>
          <w:lang w:val="ru-RU" w:eastAsia="ru-RU" w:bidi="ru-RU"/>
        </w:rPr>
        <w:t>частями 1</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1.1</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2</w:t>
      </w:r>
      <w:r>
        <w:rPr>
          <w:color w:val="000000"/>
          <w:spacing w:val="0"/>
          <w:w w:val="100"/>
          <w:position w:val="0"/>
          <w:shd w:val="clear" w:color="auto" w:fill="auto"/>
          <w:lang w:val="ru-RU" w:eastAsia="ru-RU" w:bidi="ru-RU"/>
        </w:rPr>
        <w:t xml:space="preserve"> и</w:t>
      </w:r>
      <w:r>
        <w:rPr>
          <w:color w:val="000000"/>
          <w:spacing w:val="0"/>
          <w:w w:val="100"/>
          <w:position w:val="0"/>
          <w:shd w:val="clear" w:color="auto" w:fill="auto"/>
          <w:lang w:val="ru-RU" w:eastAsia="ru-RU" w:bidi="ru-RU"/>
        </w:rPr>
        <w:t xml:space="preserve"> 2.1 </w:t>
      </w:r>
      <w:r>
        <w:rPr>
          <w:color w:val="000000"/>
          <w:spacing w:val="0"/>
          <w:w w:val="100"/>
          <w:position w:val="0"/>
          <w:shd w:val="clear" w:color="auto" w:fill="auto"/>
          <w:lang w:val="ru-RU" w:eastAsia="ru-RU" w:bidi="ru-RU"/>
        </w:rPr>
        <w:t xml:space="preserve">настоящей статьи указывается заказчиком в извещении об осуществлении закупки и документации о закупке (в случае, если настоящим Федеральным законом </w:t>
      </w:r>
      <w:r>
        <w:rPr>
          <w:color w:val="000000"/>
          <w:spacing w:val="0"/>
          <w:w w:val="100"/>
          <w:position w:val="0"/>
          <w:shd w:val="clear" w:color="auto" w:fill="auto"/>
          <w:lang w:val="ru-RU" w:eastAsia="ru-RU" w:bidi="ru-RU"/>
        </w:rPr>
        <w:t>предусмотрена документация о закупке) (часть 5 статьи 31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совместного электронного аукциона, объектом закупки является «поставку продуктов питания (овощи)».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электронного аукциона установлено, что к участникам закупки предъявляются требования, предусмотренные позицией 33 раздела VI приложения к ПП РФ от 29.12.2021 № 2571.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Вышеуказанные дополнительные требования установлены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дополнительные требования, утвержденные постановлением Правительства РФ № 2571).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позиции 33 приложения дополнительных требований, утвержденных</w:t>
      </w:r>
      <w:r>
        <w:rPr>
          <w:color w:val="000000"/>
          <w:spacing w:val="0"/>
          <w:w w:val="100"/>
          <w:position w:val="0"/>
          <w:shd w:val="clear" w:color="auto" w:fill="auto"/>
          <w:lang w:val="ru-RU" w:eastAsia="ru-RU" w:bidi="ru-RU"/>
        </w:rPr>
        <w:t xml:space="preserve"> постановлением </w:t>
      </w:r>
      <w:r>
        <w:rPr>
          <w:color w:val="000000"/>
          <w:spacing w:val="0"/>
          <w:w w:val="100"/>
          <w:position w:val="0"/>
          <w:shd w:val="clear" w:color="auto" w:fill="auto"/>
          <w:lang w:val="ru-RU" w:eastAsia="ru-RU" w:bidi="ru-RU"/>
        </w:rPr>
        <w:t>Правительства РФ № 2571 в случае, если предметом закупки являются услуги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заказчик обязан установить требование к наличию опыта исполнения участником закупки договора, предусматривающего оказание услуг общественного питания и (или) поставки пищевых продуктов.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наличия у участника закупки необходимого опыта является: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исполненный договор;</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акт приемки оказанных услуг и (или) поставленных товаров, подтверждающий цену оказанных услуг и (или) поставленных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абзаца 12 подпункта «б» пункта 3 постановления Правительства РФ № 2571 в случае проведения совместного конкурса или аукциона положения настоящего пункта и положения, предусмотренные приложением в графе «Дополнительные требования к участникам закупки», касающиеся начальной (максимальной) цены контракта, применяются к сумме начальных (максимальных) цен каждого контракта, заключаемого по результатам проведения такого совместного конкурса или аукциона, а в случае, предусмотренном частью 24 статьи 22 Закона о контрактной системе, - к сумме максимальных значений цены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учреждения пояснил Комиссии, что применительно к рассматриваемой закупке, участникам закупки необходимо было представить подтверждение наличия опыта на сумму - 1 151 297 рублей.</w:t>
      </w:r>
    </w:p>
    <w:p>
      <w:pPr>
        <w:pStyle w:val="Style10"/>
        <w:keepNext w:val="0"/>
        <w:keepLines w:val="0"/>
        <w:widowControl w:val="0"/>
        <w:shd w:val="clear" w:color="auto" w:fill="auto"/>
        <w:tabs>
          <w:tab w:pos="3917" w:val="left"/>
          <w:tab w:pos="747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участником закупки ООО «Ладья» для подтверждения соответствия участника закупки дополнительным требованиям, утвержденным</w:t>
      </w:r>
      <w:r>
        <w:rPr>
          <w:color w:val="000000"/>
          <w:spacing w:val="0"/>
          <w:w w:val="100"/>
          <w:position w:val="0"/>
          <w:shd w:val="clear" w:color="auto" w:fill="auto"/>
          <w:lang w:val="ru-RU" w:eastAsia="ru-RU" w:bidi="ru-RU"/>
        </w:rPr>
        <w:t xml:space="preserve"> постановлением</w:t>
      </w:r>
      <w:r>
        <w:rPr>
          <w:color w:val="000000"/>
          <w:spacing w:val="0"/>
          <w:w w:val="100"/>
          <w:position w:val="0"/>
          <w:shd w:val="clear" w:color="auto" w:fill="auto"/>
          <w:lang w:val="ru-RU" w:eastAsia="ru-RU" w:bidi="ru-RU"/>
        </w:rPr>
        <w:t xml:space="preserve"> Правительства РФ № 2571, в составе заявки были представлены следующие номера реестровых записей контрактов на поставку продуктов питания:</w:t>
        <w:tab/>
        <w:t>2450101373820000006;</w:t>
        <w:tab/>
        <w:t>2450102626118000169;</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1450102221020000213; 1450102221020000201; 2450102626120000012.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из возражений Уполномоченного учреждения следует, что указанные номера реестровых записей при рассмотрении заявки Заявителя не были приняты комиссией по осуществлению закупок, поскольку не подтверждали наличие у Заявителя опыта на указанную сумму, а именно 1 151 297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2450101373820000006 - 842 705,30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2450102626118000169 - 1 085 000,00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1450102221020000213 - 241 122,65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1450102221020000201 - 636 611,64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2450102626120000012 - 240 912,14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Комиссией установлено, что в составе своей заявки ООО «Ладья» для подтверждения соответствия участника закупки дополнительным требованиям, утвержденным</w:t>
      </w:r>
      <w:r>
        <w:rPr>
          <w:color w:val="000000"/>
          <w:spacing w:val="0"/>
          <w:w w:val="100"/>
          <w:position w:val="0"/>
          <w:shd w:val="clear" w:color="auto" w:fill="auto"/>
          <w:lang w:val="ru-RU" w:eastAsia="ru-RU" w:bidi="ru-RU"/>
        </w:rPr>
        <w:t xml:space="preserve"> постановлением </w:t>
      </w:r>
      <w:r>
        <w:rPr>
          <w:color w:val="000000"/>
          <w:spacing w:val="0"/>
          <w:w w:val="100"/>
          <w:position w:val="0"/>
          <w:shd w:val="clear" w:color="auto" w:fill="auto"/>
          <w:lang w:val="ru-RU" w:eastAsia="ru-RU" w:bidi="ru-RU"/>
        </w:rPr>
        <w:t>Правительства РФ № 2571 представил Государственный контракт поставки № 2121189100072074501042062/7-21/ГПО.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Государственный контракт поставки № 2121189100072074501042062/7-21/ГПО, заключенный между заявителем и Федеральным государственным казенным образовательным учреждением высшего образования «Курганский пограничный институт Федеральной службы безопасности Российской Федерации» на сумму 4 693 786,50 рублей, не был принят комиссией по осуществлению закупок в качестве подтверждения наличия необходимого опыта выполнения работ, в виду того, что Заявителем не представлен акт приемки поставленных товаров, подтверждающий цену поставленных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содержания позиции 33 приложения дополнительных требований, утвержденных</w:t>
      </w:r>
      <w:r>
        <w:rPr>
          <w:color w:val="000000"/>
          <w:spacing w:val="0"/>
          <w:w w:val="100"/>
          <w:position w:val="0"/>
          <w:shd w:val="clear" w:color="auto" w:fill="auto"/>
          <w:lang w:val="ru-RU" w:eastAsia="ru-RU" w:bidi="ru-RU"/>
        </w:rPr>
        <w:t xml:space="preserve"> постановлением</w:t>
      </w:r>
      <w:r>
        <w:rPr>
          <w:color w:val="000000"/>
          <w:spacing w:val="0"/>
          <w:w w:val="100"/>
          <w:position w:val="0"/>
          <w:shd w:val="clear" w:color="auto" w:fill="auto"/>
          <w:lang w:val="ru-RU" w:eastAsia="ru-RU" w:bidi="ru-RU"/>
        </w:rPr>
        <w:t xml:space="preserve"> Правительства РФ № 2571 следует, что документами, подтверждающими соответствие участников закупки дополнительным требованиям, является как исполненный договор, так и акт приемки оказанных услуг и (или) поставленных товаров, подтверждающий цену оказанных услуг и (или) поставленных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Курганского УФАС России приходит к выводу о том, что поскольку Заявителем не было подтверждено наличие необходимого опыта, комиссией по осуществлению закупок принято правомерное решение об отклонении заявки ООО «Ладья».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 материалы дела, заслушав пояснения лиц, участвовавших в заседании, Комиссия Курганского УФАС России признала довод жалобы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Исследовав предоставленные материалы, руководствуясь статьей 106 Закона о контрактной системе в сфере закупок, руководствуясь административным </w:t>
      </w:r>
      <w:r>
        <w:rPr>
          <w:color w:val="000000"/>
          <w:spacing w:val="0"/>
          <w:w w:val="100"/>
          <w:position w:val="0"/>
          <w:shd w:val="clear" w:color="auto" w:fill="auto"/>
          <w:lang w:val="ru-RU" w:eastAsia="ru-RU" w:bidi="ru-RU"/>
        </w:rPr>
        <w:t>регламентом по рассмотрению жалоб, утвержденным приказом Федеральной антимонопольной службы России от 19.11.2014 № 727/14, статьями 99, 106 Закона о контрактной системе, Комиссией Курганского УФАС России,</w:t>
      </w:r>
    </w:p>
    <w:p>
      <w:pPr>
        <w:pStyle w:val="Style16"/>
        <w:keepNext/>
        <w:keepLines/>
        <w:widowControl w:val="0"/>
        <w:shd w:val="clear" w:color="auto" w:fill="auto"/>
        <w:bidi w:val="0"/>
        <w:spacing w:before="0" w:line="240" w:lineRule="auto"/>
        <w:ind w:left="0" w:right="0" w:firstLine="0"/>
        <w:jc w:val="center"/>
      </w:pPr>
      <w:bookmarkStart w:id="9" w:name="bookmark9"/>
      <w:r>
        <w:rPr>
          <w:color w:val="000000"/>
          <w:spacing w:val="0"/>
          <w:w w:val="100"/>
          <w:position w:val="0"/>
          <w:shd w:val="clear" w:color="auto" w:fill="auto"/>
          <w:lang w:val="ru-RU" w:eastAsia="ru-RU" w:bidi="ru-RU"/>
        </w:rPr>
        <w:t>РЕШИЛА:</w:t>
      </w:r>
      <w:bookmarkEnd w:id="9"/>
    </w:p>
    <w:p>
      <w:pPr>
        <w:pStyle w:val="Style10"/>
        <w:keepNext w:val="0"/>
        <w:keepLines w:val="0"/>
        <w:widowControl w:val="0"/>
        <w:shd w:val="clear" w:color="auto" w:fill="auto"/>
        <w:bidi w:val="0"/>
        <w:spacing w:before="0" w:after="380" w:line="240"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«Ладья» необоснованной.</w:t>
      </w:r>
    </w:p>
    <w:p>
      <w:pPr>
        <w:pStyle w:val="Style10"/>
        <w:keepNext w:val="0"/>
        <w:keepLines w:val="0"/>
        <w:widowControl w:val="0"/>
        <w:shd w:val="clear" w:color="auto" w:fill="auto"/>
        <w:bidi w:val="0"/>
        <w:spacing w:before="0" w:after="46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leader="underscore" w:pos="7343" w:val="left"/>
        </w:tabs>
        <w:bidi w:val="0"/>
        <w:spacing w:before="0" w:after="160" w:line="240" w:lineRule="auto"/>
        <w:ind w:left="0" w:right="0" w:firstLine="0"/>
        <w:jc w:val="both"/>
      </w:pPr>
      <w:r>
        <w:rPr>
          <w:color w:val="00000A"/>
          <w:spacing w:val="0"/>
          <w:w w:val="100"/>
          <w:position w:val="0"/>
          <w:shd w:val="clear" w:color="auto" w:fill="auto"/>
          <w:lang w:val="ru-RU" w:eastAsia="ru-RU" w:bidi="ru-RU"/>
        </w:rPr>
        <w:t xml:space="preserve">Заместитель Председателя Комиссии: </w:t>
        <w:tab/>
        <w:t>/ А.В. Иванова</w:t>
      </w:r>
    </w:p>
    <w:p>
      <w:pPr>
        <w:pStyle w:val="Style10"/>
        <w:keepNext w:val="0"/>
        <w:keepLines w:val="0"/>
        <w:widowControl w:val="0"/>
        <w:shd w:val="clear" w:color="auto" w:fill="auto"/>
        <w:tabs>
          <w:tab w:leader="underscore" w:pos="5001" w:val="left"/>
        </w:tabs>
        <w:bidi w:val="0"/>
        <w:spacing w:before="0" w:after="160" w:line="240" w:lineRule="auto"/>
        <w:ind w:left="262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711835</wp:posOffset>
                </wp:positionH>
                <wp:positionV relativeFrom="paragraph">
                  <wp:posOffset>12700</wp:posOffset>
                </wp:positionV>
                <wp:extent cx="1371600" cy="252730"/>
                <wp:wrapSquare wrapText="right"/>
                <wp:docPr id="9" name="Shape 9"/>
                <a:graphic xmlns:a="http://schemas.openxmlformats.org/drawingml/2006/main">
                  <a:graphicData uri="http://schemas.microsoft.com/office/word/2010/wordprocessingShape">
                    <wps:wsp>
                      <wps:cNvSpPr txBox="1"/>
                      <wps:spPr>
                        <a:xfrm>
                          <a:ext cx="13716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6.050000000000004pt;margin-top:1.pt;width:108.pt;height:19.900000000000002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A"/>
          <w:spacing w:val="0"/>
          <w:w w:val="100"/>
          <w:position w:val="0"/>
          <w:shd w:val="clear" w:color="auto" w:fill="auto"/>
          <w:lang w:val="ru-RU" w:eastAsia="ru-RU" w:bidi="ru-RU"/>
        </w:rPr>
        <w:tab/>
        <w:t>/ И.М. Стрижова</w:t>
      </w:r>
    </w:p>
    <w:p>
      <w:pPr>
        <w:pStyle w:val="Style10"/>
        <w:keepNext w:val="0"/>
        <w:keepLines w:val="0"/>
        <w:widowControl w:val="0"/>
        <w:shd w:val="clear" w:color="auto" w:fill="auto"/>
        <w:tabs>
          <w:tab w:leader="underscore" w:pos="7343" w:val="left"/>
        </w:tabs>
        <w:bidi w:val="0"/>
        <w:spacing w:before="0" w:after="280" w:line="240" w:lineRule="auto"/>
        <w:ind w:left="4980" w:right="0" w:firstLine="0"/>
        <w:jc w:val="both"/>
      </w:pPr>
      <w:r>
        <w:rPr>
          <w:color w:val="00000A"/>
          <w:spacing w:val="0"/>
          <w:w w:val="100"/>
          <w:position w:val="0"/>
          <w:shd w:val="clear" w:color="auto" w:fill="auto"/>
          <w:lang w:val="ru-RU" w:eastAsia="ru-RU" w:bidi="ru-RU"/>
        </w:rPr>
        <w:tab/>
        <w:t>/ А.А. Голуб</w:t>
      </w:r>
    </w:p>
    <w:sectPr>
      <w:footerReference w:type="default" r:id="rId9"/>
      <w:footerReference w:type="first" r:id="rId10"/>
      <w:footnotePr>
        <w:pos w:val="pageBottom"/>
        <w:numFmt w:val="decimal"/>
        <w:numRestart w:val="continuous"/>
      </w:footnotePr>
      <w:pgSz w:w="11900" w:h="16840"/>
      <w:pgMar w:top="1105" w:right="540" w:bottom="1227" w:left="110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10016490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2023-1499</w:t>
                          </w:r>
                        </w:p>
                      </w:txbxContent>
                    </wps:txbx>
                    <wps:bodyPr wrap="none" lIns="0" tIns="0" rIns="0" bIns="0">
                      <a:spAutoFit/>
                    </wps:bodyPr>
                  </wps:wsp>
                </a:graphicData>
              </a:graphic>
            </wp:anchor>
          </w:drawing>
        </mc:Choice>
        <mc:Fallback>
          <w:pict>
            <v:shape id="_x0000_s1037" type="#_x0000_t202" style="position:absolute;margin-left:56.899999999999999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728980</wp:posOffset>
              </wp:positionH>
              <wp:positionV relativeFrom="page">
                <wp:posOffset>9857740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2023-1499</w:t>
                          </w:r>
                        </w:p>
                      </w:txbxContent>
                    </wps:txbx>
                    <wps:bodyPr wrap="none" lIns="0" tIns="0" rIns="0" bIns="0">
                      <a:spAutoFit/>
                    </wps:bodyPr>
                  </wps:wsp>
                </a:graphicData>
              </a:graphic>
            </wp:anchor>
          </w:drawing>
        </mc:Choice>
        <mc:Fallback>
          <w:pict>
            <v:shape id="_x0000_s1039" type="#_x0000_t202" style="position:absolute;margin-left:57.399999999999999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42"/>
      <w:szCs w:val="42"/>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28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