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ИК/2648/2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НИИ кардиологии Томский НИМЦ РАН саг4ю@саг4ю-1от8к.ги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"Торговый дом Гекса-Сибирь"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630024, г. Новосибирск, а/я 46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П8к^ип81@деха.ги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42" w:bottom="1217" w:left="1140" w:header="0" w:footer="3" w:gutter="0"/>
          <w:pgNumType w:start="1"/>
          <w:cols w:num="2" w:space="720" w:equalWidth="0">
            <w:col w:w="4195" w:space="1070"/>
            <w:col w:w="485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ко@г!8-1епдег.ги</w:t>
      </w:r>
    </w:p>
    <w:p>
      <w:pPr>
        <w:widowControl w:val="0"/>
        <w:spacing w:line="36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8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070/06/106 413/2023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№070/06/106-413/2023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1190" cy="2438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6.35000000000002pt;margin-top:1.pt;width:49.700000000000003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12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2381885</wp:posOffset>
                </wp:positionH>
                <wp:positionV relativeFrom="paragraph">
                  <wp:posOffset>1016000</wp:posOffset>
                </wp:positionV>
                <wp:extent cx="2566670" cy="24701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66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врио заместителя руководителя;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87.55000000000001pt;margin-top:80.pt;width:202.09999999999999pt;height:19.44999999999999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врио заместителя руководителя;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2332990</wp:posOffset>
                </wp:positionH>
                <wp:positionV relativeFrom="paragraph">
                  <wp:posOffset>406400</wp:posOffset>
                </wp:positionV>
                <wp:extent cx="4919345" cy="85661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9345" cy="856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2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 1 разряда отдела контроля монополистической деятельности;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2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специалиста-эксперта отдела контроля монополистической деятельности,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83.70000000000002pt;margin-top:32.pt;width:387.35000000000002pt;height:67.450000000000003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 1 разряда отдела контроля монополистической деятельности;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специалиста-эксперта отдела контроля монополистической деятельности,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812800</wp:posOffset>
                </wp:positionV>
                <wp:extent cx="1332230" cy="24384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Лукьяненка К.К.,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00000000000004pt;margin-top:64.pt;width:104.90000000000001pt;height:19.1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Лукьяненка К.К.,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И.М., членов комиссии: Крыловой К.С.,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280" w:after="76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«ТД Гекса-Сибирь» (далее - Заявитель) на действия НИИ кардиологии ФГБНУ «Томский НИМЦ РАН» (далее - Заказчик) при осуществлении закупки в форме электронного аукциона «Поставка медицинских изделий: наборы для общехирургических процедур для нужд НИИ кардиологии Томского НИМЦ» (извещение № 0365100000923000363) (далее - аукцион),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посредством ВКС представителей Заказчика Чуклина А.В. (доверенность № 73 от 03.04.2023), Сахаровой Н.В. (доверенность № 16/2023 от 28.04.2023), Шевелевой О.А. (доверенность № 17/2023 от 28.04.2023), в отсутствие представителей Заявителя, о дате и месте рассмотрения жалобы уведомленных надлежащим образом,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«Поставка медицинских изделий: наборы для общехирургических процедур для нужд НИИ кардиологии Томского НИМЦ» (извещение № 0365100000923000363),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в извещении отсутствует инструкция по заполнению заявки, а также Заказчиком использован неверная позиция каталога товаров, работ и услуг (далее - КТРУ).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письменных пояснениях указывает, что инструкция по заполнению заявок присутствует в извещении, код КТРУ выбран в соответствии с потребностями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обоснованной, выдать Заказчику предписание о внесении изменений в извещение по основаниям, изложенным в жалобе.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в электронной форме № 0365100000923000363 размещено на Официальном сайте единой информационной системы в сфере закупок в информационно-телекоммуникационной сети Интернет (далее - Официальный сайт, ЕИС) 18.04.2023.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15 083 991,00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«Поставка медицинских изделий: наборы для общехирургических процедур для нужд НИИ кардиологии Томского НИМЦ».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на участие в аукционе подано 2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соответствии с пунктом 3 части 2 статьи 42 Закона извещение об осуществлении закупки, если иное не предусмотрено Законом, должно содержать требования к содержанию, составу заявки на участие в закупке в соответствии с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Закон о контрактной системе не предъявляет каких-либо требований к оформлению такой инструкции.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Электронным документом «4_Требования к содержанию заявки» извещения №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leader="underscore" w:pos="10046" w:val="left"/>
        </w:tabs>
        <w:bidi w:val="0"/>
        <w:spacing w:before="0" w:after="0" w:line="240" w:lineRule="auto"/>
        <w:ind w:left="8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0365100000923000363 предусмотрено содержание и состав заявки, а также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требование к порядку заполнения заявки (инструкция):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tbl>
      <w:tblPr>
        <w:tblOverlap w:val="never"/>
        <w:jc w:val="center"/>
        <w:tblLayout w:type="fixed"/>
      </w:tblPr>
      <w:tblGrid>
        <w:gridCol w:w="590"/>
        <w:gridCol w:w="2347"/>
        <w:gridCol w:w="4013"/>
        <w:gridCol w:w="3120"/>
      </w:tblGrid>
      <w:tr>
        <w:trPr>
          <w:trHeight w:val="45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 п/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8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 ание товара, предложенного участником электронного аукциона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1560" w:val="left"/>
              </w:tabs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Товарный знак</w:t>
              <w:tab/>
              <w:t>(при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наличии)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8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 ание страны происхождения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2875" w:val="left"/>
              </w:tabs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Характеристики предлагаемого участником закупки</w:t>
              <w:tab/>
              <w:t>товара,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соответствующие показателям, установленным в описании объекта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2990" w:val="right"/>
              </w:tabs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Сведения</w:t>
              <w:tab/>
              <w:t>о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2890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регистрационном удостоверении</w:t>
              <w:tab/>
              <w:t>(в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tabs>
                <w:tab w:pos="2880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случае</w:t>
              <w:tab/>
              <w:t>поставки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медицинских изделий)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«Информация о товарном знаке (его словесном обозначении), знаке обслуживания, фирменном наименовании, патентах, полезных моделях предлагаемого к поставке товара предоставляется в заявке участника электронного аукциона при наличии. Таким образом, если заявка участника электронного аукциона, с которым впоследствии заключается контракт, не содержит информации о товарном знаке (в случае отсутствия наличия такой информации), в контракте такая информация не указывается. Приёмка товара по такому контракту осуществляется в порядке, установленном в данном контракте, с учётом положений статьи 94 Закона №44-ФЗ.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Сведения, содержащиеся в заявке на участие в электронном аукционе, не должны допускать двусмысленных толкований».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изложенное выше, Комиссия приходит к выводу, что положения Извещения (требования к содержанию, составу заявки, инструкция по ее заполнению) позволяют определить порядок представления в заявке сведений (характеристики товара, предлагаемого участником закупки к поставке).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Пунктом 5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Постановления № 145 в соответствии с частью 6 статьи 23 Закона о контрактной системе Правительство Российской Федерации постановляет: утвердить прилагаемые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 Правил, утвержденных Постановлением № 145,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извещению, Заказчиком предполагаются к закупке товары с кодом КТРУ 32.50.50.190-00001259.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ни Закон о контрактной системе, ни Постановление № 145 не ограничивают Заказчика в выборе позиции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вышеуказанной нормы обязанность доказывания нарушения Заказчиком своих прав и законных интересов лежит на подателе жалобы, однако, в заседании Комиссии Заявитель участия не принимал, а также в составе жалобы не представлены документы, свидетельствующие о нарушении Заказчиком норм Закона о контрактной при формировании извещения об осуществлении закупки при выборе позиции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не представил в подтверждение своего довода доказательств, объективно свидетельствующих о том, что Заказчик неправильно сформировал свою потребность с точки зрения законодательства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приходит к выводу, что описание объекта закупки соответствует требованиям действующего законодательства Российской Федерации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потребностями, заказчиком использовался код позиции КТРУ, что не нарушает положения Федерального закона № 44-ФЗ.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довод жалобы Заявителя не нашел своего подтверждения.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не обоснована.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14, статьей 42, статьей 49, статьей 99, статьей 105, статьей 106 Закона 44-ФЗ, Комиссия Томского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«ТД Гекса-Сибирь» на действия НИИ кардиологии ФГБНУ «Томский НИМЦ РАН» при осуществлении закупки в форме электронного аукциона «Поставка медицинских изделий: наборы для общехирургических процедур для нужд НИИ кардиологии Томского НИМЦ» (извещение № 0365100000923000363) 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нарушений Закона о контрактной системе не установлено.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74" w:val="left"/>
        </w:tabs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" w:right="503" w:bottom="1194" w:left="103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56870" distL="0" distR="0" simplePos="0" relativeHeight="125829386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101600</wp:posOffset>
                </wp:positionV>
                <wp:extent cx="1828800" cy="2438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200000000000003pt;margin-top:8.pt;width:144.pt;height:19.199999999999999pt;z-index:-125829367;mso-wrap-distance-left:0;mso-wrap-distance-top:8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8910" distB="0" distL="0" distR="1786255" simplePos="0" relativeHeight="125829388" behindDoc="0" locked="0" layoutInCell="1" allowOverlap="1">
            <wp:simplePos x="0" y="0"/>
            <wp:positionH relativeFrom="page">
              <wp:posOffset>2936240</wp:posOffset>
            </wp:positionH>
            <wp:positionV relativeFrom="paragraph">
              <wp:posOffset>168910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3393440</wp:posOffset>
                </wp:positionH>
                <wp:positionV relativeFrom="paragraph">
                  <wp:posOffset>571500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7.19999999999999pt;margin-top:45.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257175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3.85000000000002pt;margin-top:20.2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8615" distB="133985" distL="0" distR="0" simplePos="0" relativeHeight="125829389" behindDoc="0" locked="0" layoutInCell="1" allowOverlap="1">
                <wp:simplePos x="0" y="0"/>
                <wp:positionH relativeFrom="page">
                  <wp:posOffset>5365750</wp:posOffset>
                </wp:positionH>
                <wp:positionV relativeFrom="paragraph">
                  <wp:posOffset>348615</wp:posOffset>
                </wp:positionV>
                <wp:extent cx="1463040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22.5pt;margin-top:27.449999999999999pt;width:115.2pt;height:17.300000000000001pt;z-index:-125829364;mso-wrap-distance-left:0;mso-wrap-distance-top:27.449999999999999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2ЕА08ВВЕЕСА91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Е565771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06Е601ВА9ВО8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19.10.2022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1" w:bottom="119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56235" distL="0" distR="0" simplePos="0" relativeHeight="125829391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190500</wp:posOffset>
                </wp:positionV>
                <wp:extent cx="1341120" cy="24701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200000000000003pt;margin-top:15.pt;width:105.60000000000001pt;height:19.449999999999999pt;z-index:-125829362;mso-wrap-distance-left:0;mso-wrap-distance-top:1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0350" distB="0" distL="0" distR="1786255" simplePos="0" relativeHeight="125829393" behindDoc="0" locked="0" layoutInCell="1" allowOverlap="1">
            <wp:simplePos x="0" y="0"/>
            <wp:positionH relativeFrom="page">
              <wp:posOffset>2936240</wp:posOffset>
            </wp:positionH>
            <wp:positionV relativeFrom="paragraph">
              <wp:posOffset>260350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3393440</wp:posOffset>
                </wp:positionH>
                <wp:positionV relativeFrom="paragraph">
                  <wp:posOffset>659765</wp:posOffset>
                </wp:positionV>
                <wp:extent cx="128651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7.19999999999999pt;margin-top:51.9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348615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3.85000000000002pt;margin-top:27.4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56235" distL="0" distR="0" simplePos="0" relativeHeight="125829394" behindDoc="0" locked="0" layoutInCell="1" allowOverlap="1">
                <wp:simplePos x="0" y="0"/>
                <wp:positionH relativeFrom="page">
                  <wp:posOffset>5365750</wp:posOffset>
                </wp:positionH>
                <wp:positionV relativeFrom="paragraph">
                  <wp:posOffset>190500</wp:posOffset>
                </wp:positionV>
                <wp:extent cx="1073150" cy="2470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К.С. 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22.5pt;margin-top:15.pt;width:84.5pt;height:19.449999999999999pt;z-index:-125829359;mso-wrap-distance-left:0;mso-wrap-distance-top:1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К.С. Крылова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Е4Э4С2442Е14ВАЕ6А5С896О85СС6В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300"/>
        <w:jc w:val="left"/>
      </w:pPr>
      <w:r>
        <w:drawing>
          <wp:anchor distT="0" distB="0" distL="114300" distR="1918970" simplePos="0" relativeHeight="125829396" behindDoc="0" locked="0" layoutInCell="1" allowOverlap="1">
            <wp:simplePos x="0" y="0"/>
            <wp:positionH relativeFrom="page">
              <wp:posOffset>2957830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3.85000000000002pt;margin-top:11.7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К.К. Лукьяненок</w:t>
      </w:r>
    </w:p>
    <w:p>
      <w:pPr>
        <w:pStyle w:val="Style4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00АА683Е22890ЕАО641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ВВВВ722499О8301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18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тел.8(3822) 516-603, вн.113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41" w:bottom="111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10030460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450000000000003pt;margin-top:789.80000000000007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8">
    <w:name w:val="Подпись к таблиц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Другое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41">
    <w:name w:val="Основной текст (6)_"/>
    <w:basedOn w:val="DefaultParagraphFont"/>
    <w:link w:val="Style4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430"/>
      <w:ind w:left="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7">
    <w:name w:val="Подпись к таблице"/>
    <w:basedOn w:val="Normal"/>
    <w:link w:val="CharStyle2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Другое"/>
    <w:basedOn w:val="Normal"/>
    <w:link w:val="CharStyle3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spacing w:line="266" w:lineRule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40">
    <w:name w:val="Основной текст (6)"/>
    <w:basedOn w:val="Normal"/>
    <w:link w:val="CharStyle41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