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895" w:left="1107" w:header="0" w:footer="467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«ФНКЦ ДЕТЕЙ И ПОД</w:t>
        <w:softHyphen/>
        <w:t>РОСТКОВ ФМБА РОССИИ»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к8@кМ8ГтЪа.ги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«МЕДИЦИНА-ПЛЮС»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244" w:bottom="895" w:left="1140" w:header="0" w:footer="3" w:gutter="0"/>
          <w:cols w:num="2" w:space="61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т&amp;@теШста-р1н8.сот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0" w:bottom="89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tabs>
          <w:tab w:pos="831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077/06/106-АК5/2023 о нарушении</w:t>
        <w:br/>
        <w:t>законодательства о контрактной системе</w:t>
        <w:br/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 Председательствующего — главного государственного инспектора отдела обжалования государственных закупок С.И. Казарина, 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850900</wp:posOffset>
                </wp:positionV>
                <wp:extent cx="2096770" cy="2501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67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коронавирусом 2019-пСоУ,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600000000000001pt;margin-top:67.pt;width:165.09999999999999pt;height:19.699999999999999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коронавирусом 2019-пСоУ,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ФГБУ «ФНКЦ ДЕТЕЙ И ПОД-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РОСТКОВ ФМБА РОССИИ», ООО «МЕДИЦИНА-ПЛЮС» о времени и по-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hanging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рядке заседания Комиссии Управления уведомлены надлежащим образом, рассмотрев жалобу ООО «МЕДИЦИНА-ПЛЮС» (далее — Заявитель) 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действия ФГБУ «ФНКЦ ДЕТЕЙ И ПОДРОСТКОВ ФМБА РОССИИ» (далее — Заказчик) при проведении электронного аукциона на право заключения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контракта на поставку расходных материалов медицинского назначения (одноразовое белье) - 1 (Закупка № 0373100049023000063)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Ч.2 ст.33 Закона о контрактной системе установлено, что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по пп. 1,2 «Халат операционный, одноразового использования» и пп. 5,7 «Набор белья для осмотра/хирургических процедур, стерильный, одноразового использования» установлено требование «Срок стерильности не менее 5 лет». Одновременно с этим согласно п. 2.2 Технического задания установлено: «Остаточный срок годности не менее 12 месяцев».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 ст. 472 ГК РФ товар, на который установлен срок годности, продавец обязан передать покупателю с таким расчетом, чтобы он мог быть использован по назначению в период нужд потребления до истечения срока годности, если иное не предусмотрено договором.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Указание заказчиком необоснованного срока годности, в течение которого медицинские изделия должны сохранять свою пригодность для использования по назначению, значительно повышают риски ограничения количества участников закупки, и как следствие, ограничение конкуренции.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по мнению Заявителя указание срока стерильности изделий не менее 5 лет не позволяет принять участник в закупке участникам собирающимся поставить товар с общим сроком стерильности, например, 2, 3, 4 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представленным на заседание Комиссии возражениям Заказчика срок стерильности медицинских изделий установлен с учетом практики использования Заказчиком аналогичных изделий, а также в целях обеспечения потребности медицинского учреждения в получении более качественных и прочных медицинских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отмечает, что срок годности товара не является технической характеристикой закупаемых Заказчиком изделий и устанавливается Заказчиком исходя из своей потребности.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однако на заседание Комиссии Управления представитель Заявителя не явился, также в составе жалобы не представлено документов и сведений, подтверждающих тот факт, что установленные требования к закупаемым товарам являются неправомерными, а также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 контрактной системе, ввиду чего у Комиссии Управления при наличии документом, опровергающих доводы Заявителя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доводы Заявителя жалобы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Заказчиком по пп. 1,2 «Халат операционный, одноразового использования» установлено требование «Халат должен иметь мягкую окантовку горловины и регулируемую застежку ворота типа Уе1сго». Вместе с тем обозначение «Уе1сго» является зарегистрированным товарным знаком.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представленным возражениям застежка «Уе1сго» является стандартной и самой распространенной текстильной застежкой, используемой производителями швейной, обувной промышленности, а также в изготовлении специзделий, в том числе медицинских товаров. Название «Уе1сго» является общепринятым.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тоже время Комиссией Управления установлено, что согласно реестру ФИПС зарегистрированы товарные знаки «Уе1сго». правообладателями которых являются Велкро АйПи Холдингз ЛЛК и Велкро Индустрис Б.В.. Таким образом, в описание объекта закупки Заказчиком включены указание на товарный знак, что свидетельствует о нарушении Заказчиком п.1 ч.1 ст.33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установлены неправомерные требования к упаковке товаров, не предусмотренные государственными стандартами.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П.1,2: Халат должен быть упакован в пакет из полимерной пленки. Характеристики упаковки: толщина пленки не менее 85мкм.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П.3 Шапочка-берет должна быть упакована в пакет из многослойной полимерной пленки.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Изделие должно быть упаковано в пакет из полимерной пленки.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П.5,7 Комплект должен быть упакован в пакет из многослойной полимерной пленки. Толщина пленки в упаковке не менее 85мкм.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 Комплекты должны быть упакованы в стерилизационный материал и комбинированный пакет из полимерной пленки.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в описании объекта закупки указываются функциональные, технические и качественные характеристики, эксплуатационные характеристики непосредственно объекта закупки, однако, в нарушение п.1 ч.1, ч.2 ст.33 Закона о контрактной системе Заказчиком установлено требование к характеристикам упаковки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а также с учетом пояснений представителей Заказчика и доводов Заявителя, Комиссия Управления приходит к выводу об обоснованности вышеуказанного довода жалобы и о нарушении Заказчиком положений п.1, 2 ч.1, ч.2 ст.33 Закона о контрактной системе при формировании извещения,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по п. 3 «Шапочка хирургическая, одноразового использования, нестерильная» Заказчиком применена позиция КТРУ 14.12.30.190-00000177 «Шапочка хирургическая, одноразового использования, нестерильная», в то же время Заказчиком установлены дополнительные характеристики, не предусмотренные позицией Каталога, без надлежащего обоснования необходимости использования такой информации.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предусмотренную правилами использования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(далее — постановление Правительства РФ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пп.«б» п.2 Правил использования КТРУ каталог используется заказчиками в целях описания объектов закупки, которое включается в план- график закупок, извещение об осуществлении закупки, приглашение и документацию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«г» и «е» - «з» п.10 Правил формирования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пп. «г» п.10 Правил формирования КТРУ в позицию каталога включается информация, содержащая описание товара, работы,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услуги, если такое описание сформировано в соответствии с п.13 Правил формирования КТРУ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(далее - Постановление №616),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п.6 Правил использования КТРУ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позицией КТРУ 14.12.30.190</w:t>
        <w:softHyphen/>
        <w:t>00000177 не предусмотрены такие характеристики как например: «Цвет голубой; Шапочка-берет гофрированный на резинке, с двумя защипами для создания удобной формы; Шапочка-берет должна быть изготовлена из нетканого материала «спанбонд» (100% полипропилен), плотность материала не менее 17 г/кв.м.» и т.д.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установлено, что в описании объекта закупки Заказчиком представлено обоснование использования дополнительных не предусмотренных КТРУ требований к характеристикам товаров: «Включение дополнительных требований в описание объекта закупки обусловлено отсутствием их в КТРУ».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размещенное в техническом задании обоснование по своей сути таковым не является, поскольку не обосновывает необходимость установления каждого параметра, не предусмотренного КТРУ, а констатирует факт наличия потребности без раскрытия существа такой потребности.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в описании объекта закупки Заказчиком размещено ненадлежащее обоснование использования дополнительной информации, не предусмотренной позицией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ч.6 ст.23,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при разрешении вопроса о выдаче обязательного для исполнения предписания Комиссия Управления руководствовалась следующим.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установлено, что согласно протоколу подведения итогов определения поставщика (подрядчика, исполнителя) от 28.04.2023 №ИЭА1 на участие в данной закупочной процедуре подано четыре заявки, признанные соответствующими положениям извещения. Снижение по результатам аукциона составило 50,28%, что свидетельствует о том, что выявленные нарушения не повлияли на результаты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«МЕДИЦИНА-ПЛЮС» на действия ФГБУ «ФНКЦ ДЕТЕЙ И ПОДРОСТКОВ ФМБА РОССИИ» обоснованной в части установления неправомерных требований к товарам.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Признать в действиях Заказчика нарушение ч.6 ст.23, п.1, 2 ч.1, ч.2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99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584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5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1104" w:bottom="895" w:left="1104" w:header="0" w:footer="46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