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1230630</wp:posOffset>
            </wp:positionH>
            <wp:positionV relativeFrom="paragraph">
              <wp:posOffset>12700</wp:posOffset>
            </wp:positionV>
            <wp:extent cx="328930" cy="35941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28930" cy="359410"/>
                    </a:xfrm>
                    <a:prstGeom prst="rect"/>
                  </pic:spPr>
                </pic:pic>
              </a:graphicData>
            </a:graphic>
          </wp:anchor>
        </w:drawing>
      </w:r>
    </w:p>
    <w:p>
      <w:pPr>
        <w:pStyle w:val="Style2"/>
        <w:keepNext w:val="0"/>
        <w:keepLines w:val="0"/>
        <w:widowControl w:val="0"/>
        <w:shd w:val="clear" w:color="auto" w:fill="auto"/>
        <w:bidi w:val="0"/>
        <w:spacing w:before="0" w:after="0"/>
        <w:ind w:left="0" w:right="0" w:firstLine="780"/>
        <w:jc w:val="left"/>
      </w:pPr>
      <w:r>
        <w:rPr>
          <w:color w:val="000000"/>
          <w:spacing w:val="0"/>
          <w:w w:val="100"/>
          <w:position w:val="0"/>
          <w:shd w:val="clear" w:color="auto" w:fill="auto"/>
          <w:lang w:val="ru-RU" w:eastAsia="ru-RU" w:bidi="ru-RU"/>
        </w:rPr>
        <w:t>Ф^ЕРЛЛЬНЛЯ</w:t>
      </w:r>
    </w:p>
    <w:p>
      <w:pPr>
        <w:pStyle w:val="Style2"/>
        <w:keepNext w:val="0"/>
        <w:keepLines w:val="0"/>
        <w:widowControl w:val="0"/>
        <w:shd w:val="clear" w:color="auto" w:fill="auto"/>
        <w:bidi w:val="0"/>
        <w:spacing w:before="0" w:after="120"/>
        <w:ind w:left="0" w:right="0" w:firstLine="200"/>
        <w:jc w:val="left"/>
      </w:pPr>
      <w:r>
        <w:rPr>
          <w:color w:val="000000"/>
          <w:spacing w:val="0"/>
          <w:w w:val="100"/>
          <w:position w:val="0"/>
          <w:shd w:val="clear" w:color="auto" w:fill="auto"/>
          <w:lang w:val="ru-RU" w:eastAsia="ru-RU" w:bidi="ru-RU"/>
        </w:rPr>
        <w:t>АНТИМОНОПОЛЬНАЯ СЛУЖБА</w:t>
      </w:r>
    </w:p>
    <w:p>
      <w:pPr>
        <w:pStyle w:val="Style2"/>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Федеральной янгн.моноиольной</w:t>
        <w:br/>
      </w:r>
      <w:r>
        <w:rPr>
          <w:smallCaps/>
          <w:color w:val="000000"/>
          <w:spacing w:val="0"/>
          <w:w w:val="100"/>
          <w:position w:val="0"/>
          <w:shd w:val="clear" w:color="auto" w:fill="auto"/>
          <w:lang w:val="ru-RU" w:eastAsia="ru-RU" w:bidi="ru-RU"/>
        </w:rPr>
        <w:t>службы</w:t>
      </w:r>
      <w:r>
        <w:rPr>
          <w:color w:val="000000"/>
          <w:spacing w:val="0"/>
          <w:w w:val="100"/>
          <w:position w:val="0"/>
          <w:shd w:val="clear" w:color="auto" w:fill="auto"/>
          <w:lang w:val="ru-RU" w:eastAsia="ru-RU" w:bidi="ru-RU"/>
        </w:rPr>
        <w:t xml:space="preserve"> ио ХаилъьМаиеий^кому</w:t>
        <w:br/>
        <w:t>явтоиомномт округу • Югре</w:t>
      </w:r>
    </w:p>
    <w:p>
      <w:pPr>
        <w:pStyle w:val="Style2"/>
        <w:keepNext w:val="0"/>
        <w:keepLines w:val="0"/>
        <w:widowControl w:val="0"/>
        <w:shd w:val="clear" w:color="auto" w:fill="auto"/>
        <w:bidi w:val="0"/>
        <w:spacing w:before="0" w:after="0" w:line="240" w:lineRule="auto"/>
        <w:ind w:left="0" w:right="0" w:firstLine="160"/>
        <w:jc w:val="left"/>
        <w:rPr>
          <w:sz w:val="11"/>
          <w:szCs w:val="11"/>
        </w:rPr>
      </w:pPr>
      <w:r>
        <w:rPr>
          <w:color w:val="000000"/>
          <w:spacing w:val="0"/>
          <w:w w:val="100"/>
          <w:position w:val="0"/>
          <w:sz w:val="11"/>
          <w:szCs w:val="11"/>
          <w:shd w:val="clear" w:color="auto" w:fill="auto"/>
          <w:lang w:val="ru-RU" w:eastAsia="ru-RU" w:bidi="ru-RU"/>
        </w:rPr>
        <w:t xml:space="preserve">\ 1 \Ь &gt; \ ш \? 1 и </w:t>
      </w:r>
      <w:r>
        <w:rPr>
          <w:i/>
          <w:iCs/>
          <w:color w:val="000000"/>
          <w:spacing w:val="0"/>
          <w:w w:val="100"/>
          <w:position w:val="0"/>
          <w:sz w:val="11"/>
          <w:szCs w:val="11"/>
          <w:shd w:val="clear" w:color="auto" w:fill="auto"/>
          <w:lang w:val="ru-RU" w:eastAsia="ru-RU" w:bidi="ru-RU"/>
        </w:rPr>
        <w:t>I</w:t>
      </w:r>
      <w:r>
        <w:rPr>
          <w:color w:val="000000"/>
          <w:spacing w:val="0"/>
          <w:w w:val="100"/>
          <w:position w:val="0"/>
          <w:sz w:val="11"/>
          <w:szCs w:val="11"/>
          <w:shd w:val="clear" w:color="auto" w:fill="auto"/>
          <w:lang w:val="ru-RU" w:eastAsia="ru-RU" w:bidi="ru-RU"/>
        </w:rPr>
        <w:t xml:space="preserve"> И</w:t>
      </w:r>
    </w:p>
    <w:p>
      <w:pPr>
        <w:pStyle w:val="Style2"/>
        <w:keepNext w:val="0"/>
        <w:keepLines w:val="0"/>
        <w:widowControl w:val="0"/>
        <w:shd w:val="clear" w:color="auto" w:fill="auto"/>
        <w:tabs>
          <w:tab w:pos="1937" w:val="left"/>
        </w:tabs>
        <w:bidi w:val="0"/>
        <w:spacing w:before="0" w:after="0" w:line="240" w:lineRule="auto"/>
        <w:ind w:left="0" w:right="0" w:firstLine="400"/>
        <w:jc w:val="left"/>
        <w:rPr>
          <w:sz w:val="11"/>
          <w:szCs w:val="11"/>
        </w:rPr>
      </w:pPr>
      <w:r>
        <w:rPr>
          <w:color w:val="000000"/>
          <w:spacing w:val="0"/>
          <w:w w:val="100"/>
          <w:position w:val="0"/>
          <w:sz w:val="11"/>
          <w:szCs w:val="11"/>
          <w:shd w:val="clear" w:color="auto" w:fill="auto"/>
          <w:lang w:val="ru-RU" w:eastAsia="ru-RU" w:bidi="ru-RU"/>
        </w:rPr>
        <w:t>1С1 I I М 1,</w:t>
        <w:tab/>
        <w:t>I</w:t>
      </w:r>
    </w:p>
    <w:p>
      <w:pPr>
        <w:pStyle w:val="Style2"/>
        <w:keepNext w:val="0"/>
        <w:keepLines w:val="0"/>
        <w:widowControl w:val="0"/>
        <w:shd w:val="clear" w:color="auto" w:fill="auto"/>
        <w:tabs>
          <w:tab w:pos="742" w:val="left"/>
          <w:tab w:pos="1937" w:val="left"/>
          <w:tab w:pos="2288" w:val="left"/>
        </w:tabs>
        <w:bidi w:val="0"/>
        <w:spacing w:before="0" w:after="0" w:line="240" w:lineRule="auto"/>
        <w:ind w:left="0" w:right="0" w:firstLine="200"/>
        <w:jc w:val="left"/>
        <w:rPr>
          <w:sz w:val="11"/>
          <w:szCs w:val="11"/>
        </w:rPr>
      </w:pPr>
      <w:r>
        <w:rPr>
          <w:color w:val="000000"/>
          <w:spacing w:val="0"/>
          <w:w w:val="100"/>
          <w:position w:val="0"/>
          <w:sz w:val="11"/>
          <w:szCs w:val="11"/>
          <w:shd w:val="clear" w:color="auto" w:fill="auto"/>
          <w:lang w:val="ru-RU" w:eastAsia="ru-RU" w:bidi="ru-RU"/>
        </w:rPr>
        <w:t>Л)н1</w:t>
        <w:tab/>
      </w:r>
      <w:r>
        <w:rPr>
          <w:color w:val="000000"/>
          <w:spacing w:val="0"/>
          <w:w w:val="100"/>
          <w:position w:val="0"/>
          <w:sz w:val="11"/>
          <w:szCs w:val="11"/>
          <w:shd w:val="clear" w:color="auto" w:fill="auto"/>
          <w:vertAlign w:val="superscript"/>
          <w:lang w:val="ru-RU" w:eastAsia="ru-RU" w:bidi="ru-RU"/>
        </w:rPr>
        <w:t>!</w:t>
      </w:r>
      <w:r>
        <w:rPr>
          <w:color w:val="000000"/>
          <w:spacing w:val="0"/>
          <w:w w:val="100"/>
          <w:position w:val="0"/>
          <w:sz w:val="11"/>
          <w:szCs w:val="11"/>
          <w:shd w:val="clear" w:color="auto" w:fill="auto"/>
          <w:lang w:val="ru-RU" w:eastAsia="ru-RU" w:bidi="ru-RU"/>
        </w:rPr>
        <w:t xml:space="preserve"> ; С1 »[ !</w:t>
        <w:tab/>
      </w:r>
      <w:r>
        <w:rPr>
          <w:i/>
          <w:iCs/>
          <w:color w:val="000000"/>
          <w:spacing w:val="0"/>
          <w:w w:val="100"/>
          <w:position w:val="0"/>
          <w:sz w:val="11"/>
          <w:szCs w:val="11"/>
          <w:shd w:val="clear" w:color="auto" w:fill="auto"/>
          <w:lang w:val="ru-RU" w:eastAsia="ru-RU" w:bidi="ru-RU"/>
        </w:rPr>
        <w:t>1</w:t>
      </w:r>
      <w:r>
        <w:rPr>
          <w:color w:val="000000"/>
          <w:spacing w:val="0"/>
          <w:w w:val="100"/>
          <w:position w:val="0"/>
          <w:sz w:val="11"/>
          <w:szCs w:val="11"/>
          <w:shd w:val="clear" w:color="auto" w:fill="auto"/>
          <w:lang w:val="ru-RU" w:eastAsia="ru-RU" w:bidi="ru-RU"/>
        </w:rPr>
        <w:tab/>
        <w:t>в</w:t>
      </w:r>
    </w:p>
    <w:p>
      <w:pPr>
        <w:pStyle w:val="Style2"/>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ru-RU" w:eastAsia="ru-RU" w:bidi="ru-RU"/>
        </w:rPr>
        <w:t xml:space="preserve">т ИМЯ 1 / 1 К1 Н (П &gt; О ) X </w:t>
      </w:r>
      <w:r>
        <w:rPr>
          <w:i/>
          <w:iCs/>
          <w:color w:val="000000"/>
          <w:spacing w:val="0"/>
          <w:w w:val="100"/>
          <w:position w:val="0"/>
          <w:sz w:val="11"/>
          <w:szCs w:val="11"/>
          <w:shd w:val="clear" w:color="auto" w:fill="auto"/>
          <w:lang w:val="ru-RU" w:eastAsia="ru-RU" w:bidi="ru-RU"/>
        </w:rPr>
        <w:t>) ! (ЮЗ</w:t>
      </w:r>
    </w:p>
    <w:p>
      <w:pPr>
        <w:pStyle w:val="Style2"/>
        <w:keepNext w:val="0"/>
        <w:keepLines w:val="0"/>
        <w:widowControl w:val="0"/>
        <w:shd w:val="clear" w:color="auto" w:fill="auto"/>
        <w:bidi w:val="0"/>
        <w:spacing w:before="0" w:after="680" w:line="240" w:lineRule="auto"/>
        <w:ind w:left="0" w:right="0" w:firstLine="0"/>
        <w:jc w:val="left"/>
        <w:rPr>
          <w:sz w:val="11"/>
          <w:szCs w:val="11"/>
        </w:rPr>
      </w:pPr>
      <w:r>
        <w:rPr>
          <w:i/>
          <w:iCs/>
          <w:color w:val="000000"/>
          <w:spacing w:val="0"/>
          <w:w w:val="100"/>
          <w:position w:val="0"/>
          <w:sz w:val="11"/>
          <w:szCs w:val="11"/>
          <w:shd w:val="clear" w:color="auto" w:fill="auto"/>
          <w:lang w:val="ru-RU" w:eastAsia="ru-RU" w:bidi="ru-RU"/>
        </w:rPr>
        <w:t>,{\?п .-?а^</w:t>
      </w:r>
      <w:r>
        <w:rPr>
          <w:i/>
          <w:iCs/>
          <w:color w:val="000000"/>
          <w:spacing w:val="0"/>
          <w:w w:val="100"/>
          <w:position w:val="0"/>
          <w:sz w:val="11"/>
          <w:szCs w:val="11"/>
          <w:shd w:val="clear" w:color="auto" w:fill="auto"/>
          <w:vertAlign w:val="subscript"/>
          <w:lang w:val="ru-RU" w:eastAsia="ru-RU" w:bidi="ru-RU"/>
        </w:rPr>
        <w:t>к</w:t>
      </w:r>
      <w:r>
        <w:rPr>
          <w:i/>
          <w:iCs/>
          <w:color w:val="000000"/>
          <w:spacing w:val="0"/>
          <w:w w:val="100"/>
          <w:position w:val="0"/>
          <w:sz w:val="11"/>
          <w:szCs w:val="11"/>
          <w:shd w:val="clear" w:color="auto" w:fill="auto"/>
          <w:lang w:val="ru-RU" w:eastAsia="ru-RU" w:bidi="ru-RU"/>
        </w:rPr>
        <w:t xml:space="preserve"> ^{) '&lt;^.3</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Решение по жалобе №4230/23</w:t>
      </w:r>
    </w:p>
    <w:p>
      <w:pPr>
        <w:pStyle w:val="Style9"/>
        <w:keepNext/>
        <w:keepLines/>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Оператор электронной площадки:</w:t>
      </w:r>
      <w:bookmarkEnd w:id="0"/>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"ЕЭТП"</w:t>
      </w:r>
    </w:p>
    <w:p>
      <w:pPr>
        <w:pStyle w:val="Style7"/>
        <w:keepNext w:val="0"/>
        <w:keepLines w:val="0"/>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ru-RU" w:eastAsia="ru-RU" w:bidi="ru-RU"/>
        </w:rPr>
        <w:t>115114, Россия, Москва, ул. Кожевническая, 14, стр.5</w:t>
      </w:r>
    </w:p>
    <w:p>
      <w:pPr>
        <w:pStyle w:val="Style9"/>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Заявитель:</w:t>
      </w:r>
      <w:bookmarkEnd w:id="2"/>
    </w:p>
    <w:p>
      <w:pPr>
        <w:pStyle w:val="Style7"/>
        <w:keepNext w:val="0"/>
        <w:keepLines w:val="0"/>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ru-RU" w:eastAsia="ru-RU" w:bidi="ru-RU"/>
        </w:rPr>
        <w:t>ИП Харчук Вячеслав Александрович 630099, г. Новосибирск, ул. Красный проспект, дом 30, кв. 144</w:t>
      </w:r>
    </w:p>
    <w:p>
      <w:pPr>
        <w:pStyle w:val="Style9"/>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Заказчик:</w:t>
      </w:r>
      <w:bookmarkEnd w:id="4"/>
    </w:p>
    <w:p>
      <w:pPr>
        <w:pStyle w:val="Style7"/>
        <w:keepNext w:val="0"/>
        <w:keepLines w:val="0"/>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ru-RU" w:eastAsia="ru-RU" w:bidi="ru-RU"/>
        </w:rPr>
        <w:t>Муниципальное бюджетное общеобразова</w:t>
        <w:softHyphen/>
        <w:t>тельное учреждение дополнительного образо</w:t>
        <w:softHyphen/>
        <w:t>вания «Локосовская детская школа искусств» 628454, Сургутский р-н, с. Локосово, ул. За</w:t>
        <w:softHyphen/>
        <w:t>водская, дом 16</w:t>
      </w:r>
    </w:p>
    <w:p>
      <w:pPr>
        <w:pStyle w:val="Style9"/>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hd w:val="clear" w:color="auto" w:fill="auto"/>
          <w:lang w:val="ru-RU" w:eastAsia="ru-RU" w:bidi="ru-RU"/>
        </w:rPr>
        <w:t>Уполномоченный орган:</w:t>
      </w:r>
      <w:bookmarkEnd w:id="6"/>
    </w:p>
    <w:p>
      <w:pPr>
        <w:pStyle w:val="Style7"/>
        <w:keepNext w:val="0"/>
        <w:keepLines w:val="0"/>
        <w:widowControl w:val="0"/>
        <w:shd w:val="clear" w:color="auto" w:fill="auto"/>
        <w:bidi w:val="0"/>
        <w:spacing w:before="0" w:after="0" w:line="240" w:lineRule="auto"/>
        <w:ind w:left="0" w:right="0" w:firstLine="0"/>
        <w:jc w:val="left"/>
        <w:sectPr>
          <w:footerReference w:type="default" r:id="rId7"/>
          <w:footerReference w:type="even" r:id="rId8"/>
          <w:footnotePr>
            <w:pos w:val="pageBottom"/>
            <w:numFmt w:val="decimal"/>
            <w:numRestart w:val="continuous"/>
          </w:footnotePr>
          <w:pgSz w:w="8400" w:h="11900"/>
          <w:pgMar w:top="460" w:right="1140" w:bottom="1529" w:left="954" w:header="0" w:footer="3" w:gutter="0"/>
          <w:pgNumType w:start="1"/>
          <w:cols w:num="2" w:space="720" w:equalWidth="0">
            <w:col w:w="2707" w:space="509"/>
            <w:col w:w="3091"/>
          </w:cols>
          <w:noEndnote/>
          <w:rtlGutter w:val="0"/>
          <w:docGrid w:linePitch="360"/>
        </w:sectPr>
      </w:pPr>
      <w:r>
        <w:rPr>
          <w:color w:val="000000"/>
          <w:spacing w:val="0"/>
          <w:w w:val="100"/>
          <w:position w:val="0"/>
          <w:shd w:val="clear" w:color="auto" w:fill="auto"/>
          <w:lang w:val="ru-RU" w:eastAsia="ru-RU" w:bidi="ru-RU"/>
        </w:rPr>
        <w:t>Администрация Сургутского района 628408, Ханты-Мансийский Автономный округ - Югра АО, Сургут г., ул. Энгельса, 10</w:t>
      </w:r>
    </w:p>
    <w:p>
      <w:pPr>
        <w:widowControl w:val="0"/>
        <w:spacing w:before="16" w:after="16" w:line="240" w:lineRule="exact"/>
        <w:rPr>
          <w:sz w:val="19"/>
          <w:szCs w:val="19"/>
        </w:rPr>
      </w:pPr>
    </w:p>
    <w:p>
      <w:pPr>
        <w:widowControl w:val="0"/>
        <w:spacing w:line="1" w:lineRule="exact"/>
        <w:sectPr>
          <w:footnotePr>
            <w:pos w:val="pageBottom"/>
            <w:numFmt w:val="decimal"/>
            <w:numRestart w:val="continuous"/>
          </w:footnotePr>
          <w:type w:val="continuous"/>
          <w:pgSz w:w="8400" w:h="11900"/>
          <w:pgMar w:top="775" w:right="0" w:bottom="1613" w:left="0" w:header="0" w:footer="3" w:gutter="0"/>
          <w:cols w:space="720"/>
          <w:noEndnote/>
          <w:rtlGutter w:val="0"/>
          <w:docGrid w:linePitch="360"/>
        </w:sectPr>
      </w:pPr>
    </w:p>
    <w:p>
      <w:pPr>
        <w:pStyle w:val="Style9"/>
        <w:keepNext/>
        <w:keepLines/>
        <w:widowControl w:val="0"/>
        <w:shd w:val="clear" w:color="auto" w:fill="auto"/>
        <w:bidi w:val="0"/>
        <w:spacing w:before="0" w:after="160" w:line="240" w:lineRule="auto"/>
        <w:ind w:left="0" w:right="0" w:firstLine="0"/>
        <w:jc w:val="center"/>
      </w:pPr>
      <w:bookmarkStart w:id="8" w:name="bookmark8"/>
      <w:r>
        <w:rPr>
          <w:color w:val="000000"/>
          <w:spacing w:val="0"/>
          <w:w w:val="100"/>
          <w:position w:val="0"/>
          <w:shd w:val="clear" w:color="auto" w:fill="auto"/>
          <w:lang w:val="ru-RU" w:eastAsia="ru-RU" w:bidi="ru-RU"/>
        </w:rPr>
        <w:t>РЕШЕНИЕ №086/06/48-707/2023</w:t>
      </w:r>
      <w:bookmarkEnd w:id="8"/>
    </w:p>
    <w:p>
      <w:pPr>
        <w:pStyle w:val="Style7"/>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79" behindDoc="0" locked="0" layoutInCell="1" allowOverlap="1">
                <wp:simplePos x="0" y="0"/>
                <wp:positionH relativeFrom="page">
                  <wp:posOffset>3659505</wp:posOffset>
                </wp:positionH>
                <wp:positionV relativeFrom="paragraph">
                  <wp:posOffset>12700</wp:posOffset>
                </wp:positionV>
                <wp:extent cx="829310" cy="121920"/>
                <wp:wrapSquare wrapText="left"/>
                <wp:docPr id="5" name="Shape 5"/>
                <a:graphic xmlns:a="http://schemas.openxmlformats.org/drawingml/2006/main">
                  <a:graphicData uri="http://schemas.microsoft.com/office/word/2010/wordprocessingShape">
                    <wps:wsp>
                      <wps:cNvSpPr txBox="1"/>
                      <wps:spPr>
                        <a:xfrm>
                          <a:ext cx="829310" cy="12192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Ханты-Мансийск</w:t>
                            </w:r>
                          </w:p>
                        </w:txbxContent>
                      </wps:txbx>
                      <wps:bodyPr wrap="none" lIns="0" tIns="0" rIns="0" bIns="0">
                        <a:noAutoFit/>
                      </wps:bodyPr>
                    </wps:wsp>
                  </a:graphicData>
                </a:graphic>
              </wp:anchor>
            </w:drawing>
          </mc:Choice>
          <mc:Fallback>
            <w:pict>
              <v:shape id="_x0000_s1031" type="#_x0000_t202" style="position:absolute;margin-left:288.15000000000003pt;margin-top:1.pt;width:65.299999999999997pt;height:9.5999999999999996pt;z-index:-125829374;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Ханты-Мансийск</w:t>
                      </w:r>
                    </w:p>
                  </w:txbxContent>
                </v:textbox>
                <w10:wrap type="square" side="left" anchorx="page"/>
              </v:shape>
            </w:pict>
          </mc:Fallback>
        </mc:AlternateContent>
      </w:r>
      <w:r>
        <w:rPr>
          <w:color w:val="000000"/>
          <w:spacing w:val="0"/>
          <w:w w:val="100"/>
          <w:position w:val="0"/>
          <w:shd w:val="clear" w:color="auto" w:fill="auto"/>
          <w:lang w:val="ru-RU" w:eastAsia="ru-RU" w:bidi="ru-RU"/>
        </w:rPr>
        <w:t>Резолютивная часть объявлена 03.05.2023</w:t>
      </w:r>
    </w:p>
    <w:p>
      <w:pPr>
        <w:pStyle w:val="Style7"/>
        <w:keepNext w:val="0"/>
        <w:keepLines w:val="0"/>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ru-RU" w:eastAsia="ru-RU" w:bidi="ru-RU"/>
        </w:rPr>
        <w:t>Изготовлено в полном объеме 10.05.2023</w:t>
      </w:r>
    </w:p>
    <w:p>
      <w:pPr>
        <w:pStyle w:val="Style7"/>
        <w:keepNext w:val="0"/>
        <w:keepLines w:val="0"/>
        <w:widowControl w:val="0"/>
        <w:shd w:val="clear" w:color="auto" w:fill="auto"/>
        <w:bidi w:val="0"/>
        <w:spacing w:before="0" w:after="160" w:line="240" w:lineRule="auto"/>
        <w:ind w:left="0" w:right="0" w:firstLine="4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доя обеспечения государственных и муниципальных нужд в составе:</w:t>
      </w:r>
    </w:p>
    <w:p>
      <w:pPr>
        <w:pStyle w:val="Style7"/>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ru-RU" w:eastAsia="ru-RU" w:bidi="ru-RU"/>
        </w:rPr>
        <w:t>Председатель комиссии:</w:t>
      </w:r>
    </w:p>
    <w:p>
      <w:pPr>
        <w:pStyle w:val="Style7"/>
        <w:keepNext w:val="0"/>
        <w:keepLines w:val="0"/>
        <w:widowControl w:val="0"/>
        <w:numPr>
          <w:ilvl w:val="0"/>
          <w:numId w:val="1"/>
        </w:numPr>
        <w:shd w:val="clear" w:color="auto" w:fill="auto"/>
        <w:tabs>
          <w:tab w:pos="653" w:val="left"/>
        </w:tabs>
        <w:bidi w:val="0"/>
        <w:spacing w:before="0" w:after="0" w:line="240" w:lineRule="auto"/>
        <w:ind w:left="0" w:right="0" w:firstLine="440"/>
        <w:jc w:val="both"/>
      </w:pPr>
      <w:r>
        <w:rPr>
          <w:color w:val="000000"/>
          <w:spacing w:val="0"/>
          <w:w w:val="100"/>
          <w:position w:val="0"/>
          <w:shd w:val="clear" w:color="auto" w:fill="auto"/>
          <w:lang w:val="ru-RU" w:eastAsia="ru-RU" w:bidi="ru-RU"/>
        </w:rPr>
        <w:t>Андрейцева Е.А. - Врио заместителя руководителя Управления;</w:t>
      </w:r>
    </w:p>
    <w:p>
      <w:pPr>
        <w:pStyle w:val="Style7"/>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ru-RU" w:eastAsia="ru-RU" w:bidi="ru-RU"/>
        </w:rPr>
        <w:t>Членов комиссии:</w:t>
      </w:r>
    </w:p>
    <w:p>
      <w:pPr>
        <w:pStyle w:val="Style7"/>
        <w:keepNext w:val="0"/>
        <w:keepLines w:val="0"/>
        <w:widowControl w:val="0"/>
        <w:numPr>
          <w:ilvl w:val="0"/>
          <w:numId w:val="1"/>
        </w:numPr>
        <w:shd w:val="clear" w:color="auto" w:fill="auto"/>
        <w:tabs>
          <w:tab w:pos="653" w:val="left"/>
        </w:tabs>
        <w:bidi w:val="0"/>
        <w:spacing w:before="0" w:after="0" w:line="240" w:lineRule="auto"/>
        <w:ind w:left="0" w:right="0" w:firstLine="440"/>
        <w:jc w:val="both"/>
      </w:pPr>
      <w:r>
        <w:rPr>
          <w:color w:val="000000"/>
          <w:spacing w:val="0"/>
          <w:w w:val="100"/>
          <w:position w:val="0"/>
          <w:shd w:val="clear" w:color="auto" w:fill="auto"/>
          <w:lang w:val="ru-RU" w:eastAsia="ru-RU" w:bidi="ru-RU"/>
        </w:rPr>
        <w:t>Сафонов С.И.- Специалист-эксперт отдела Управления;</w:t>
      </w:r>
    </w:p>
    <w:p>
      <w:pPr>
        <w:pStyle w:val="Style7"/>
        <w:keepNext w:val="0"/>
        <w:keepLines w:val="0"/>
        <w:widowControl w:val="0"/>
        <w:numPr>
          <w:ilvl w:val="0"/>
          <w:numId w:val="1"/>
        </w:numPr>
        <w:shd w:val="clear" w:color="auto" w:fill="auto"/>
        <w:tabs>
          <w:tab w:pos="653" w:val="left"/>
        </w:tabs>
        <w:bidi w:val="0"/>
        <w:spacing w:before="0" w:after="160" w:line="240" w:lineRule="auto"/>
        <w:ind w:left="0" w:right="0" w:firstLine="440"/>
        <w:jc w:val="both"/>
      </w:pPr>
      <w:r>
        <w:rPr>
          <w:color w:val="000000"/>
          <w:spacing w:val="0"/>
          <w:w w:val="100"/>
          <w:position w:val="0"/>
          <w:shd w:val="clear" w:color="auto" w:fill="auto"/>
          <w:lang w:val="ru-RU" w:eastAsia="ru-RU" w:bidi="ru-RU"/>
        </w:rPr>
        <w:t>Петухова Ю.А. - Эксперт отдела Управления,</w:t>
      </w:r>
    </w:p>
    <w:p>
      <w:pPr>
        <w:pStyle w:val="Style7"/>
        <w:keepNext w:val="0"/>
        <w:keepLines w:val="0"/>
        <w:widowControl w:val="0"/>
        <w:shd w:val="clear" w:color="auto" w:fill="auto"/>
        <w:bidi w:val="0"/>
        <w:spacing w:before="0" w:after="0" w:line="233" w:lineRule="auto"/>
        <w:ind w:left="0" w:right="0" w:firstLine="440"/>
        <w:jc w:val="both"/>
      </w:pPr>
      <w:r>
        <w:rPr>
          <w:color w:val="000000"/>
          <w:spacing w:val="0"/>
          <w:w w:val="100"/>
          <w:position w:val="0"/>
          <w:shd w:val="clear" w:color="auto" w:fill="auto"/>
          <w:lang w:val="ru-RU" w:eastAsia="ru-RU" w:bidi="ru-RU"/>
        </w:rPr>
        <w:t>от Заявителя - отсутствовали, извещены надлежащим образом;</w:t>
      </w:r>
    </w:p>
    <w:p>
      <w:pPr>
        <w:pStyle w:val="Style7"/>
        <w:keepNext w:val="0"/>
        <w:keepLines w:val="0"/>
        <w:widowControl w:val="0"/>
        <w:numPr>
          <w:ilvl w:val="0"/>
          <w:numId w:val="1"/>
        </w:numPr>
        <w:shd w:val="clear" w:color="auto" w:fill="auto"/>
        <w:tabs>
          <w:tab w:pos="672" w:val="left"/>
        </w:tabs>
        <w:bidi w:val="0"/>
        <w:spacing w:before="0" w:after="0" w:line="233" w:lineRule="auto"/>
        <w:ind w:left="0" w:right="0" w:firstLine="440"/>
        <w:jc w:val="both"/>
      </w:pPr>
      <w:r>
        <w:rPr>
          <w:color w:val="000000"/>
          <w:spacing w:val="0"/>
          <w:w w:val="100"/>
          <w:position w:val="0"/>
          <w:shd w:val="clear" w:color="auto" w:fill="auto"/>
          <w:lang w:val="ru-RU" w:eastAsia="ru-RU" w:bidi="ru-RU"/>
        </w:rPr>
        <w:t>т Заказчика - отсутствовали, извещены надлежащим образом;</w:t>
      </w:r>
    </w:p>
    <w:p>
      <w:pPr>
        <w:pStyle w:val="Style7"/>
        <w:keepNext w:val="0"/>
        <w:keepLines w:val="0"/>
        <w:widowControl w:val="0"/>
        <w:shd w:val="clear" w:color="auto" w:fill="auto"/>
        <w:bidi w:val="0"/>
        <w:spacing w:before="0" w:after="160" w:line="233" w:lineRule="auto"/>
        <w:ind w:left="0" w:right="0" w:firstLine="440"/>
        <w:jc w:val="both"/>
      </w:pPr>
      <w:r>
        <w:rPr>
          <w:color w:val="000000"/>
          <w:spacing w:val="0"/>
          <w:w w:val="100"/>
          <w:position w:val="0"/>
          <w:shd w:val="clear" w:color="auto" w:fill="auto"/>
          <w:lang w:val="ru-RU" w:eastAsia="ru-RU" w:bidi="ru-RU"/>
        </w:rPr>
        <w:t>от Уполномоченного органа - посредством видеоконференц-связи Валуйская А.С. по доверенности № 962 от 23.11.2022,</w:t>
      </w:r>
    </w:p>
    <w:p>
      <w:pPr>
        <w:pStyle w:val="Style7"/>
        <w:keepNext w:val="0"/>
        <w:keepLines w:val="0"/>
        <w:widowControl w:val="0"/>
        <w:shd w:val="clear" w:color="auto" w:fill="auto"/>
        <w:bidi w:val="0"/>
        <w:spacing w:before="0" w:after="160" w:line="240" w:lineRule="auto"/>
        <w:ind w:left="0" w:right="0" w:firstLine="440"/>
        <w:jc w:val="both"/>
      </w:pPr>
      <w:r>
        <w:rPr>
          <w:color w:val="000000"/>
          <w:spacing w:val="0"/>
          <w:w w:val="100"/>
          <w:position w:val="0"/>
          <w:shd w:val="clear" w:color="auto" w:fill="auto"/>
          <w:lang w:val="ru-RU" w:eastAsia="ru-RU" w:bidi="ru-RU"/>
        </w:rPr>
        <w:t>рассмотрев жалобу ИП Харчука Вячеслава Александровича (ИНН: 540629217303; ОГР</w:t>
        <w:softHyphen/>
        <w:t>НИП: 318547600123914) от 26.04.2023 № 4230/23, на действия Заказчика - Муниципальное бюд</w:t>
        <w:softHyphen/>
        <w:t>жетное общеобразовательное учреждение дополнительного образования «Локосовская детская школа искусств», Уполномоченного органа - Администрация Сургутского района, при проведении запроса котировок в электронной форме, предметом которого является поставка интерактивных</w:t>
      </w:r>
    </w:p>
    <w:p>
      <w:pPr>
        <w:pStyle w:val="Style11"/>
        <w:keepNext/>
        <w:keepLines/>
        <w:widowControl w:val="0"/>
        <w:shd w:val="clear" w:color="auto" w:fill="auto"/>
        <w:bidi w:val="0"/>
        <w:spacing w:before="0" w:after="0" w:line="240" w:lineRule="auto"/>
        <w:ind w:left="0" w:right="0" w:firstLine="0"/>
        <w:jc w:val="left"/>
      </w:pPr>
      <w:bookmarkStart w:id="10" w:name="bookmark10"/>
      <w:r>
        <w:rPr>
          <w:color w:val="000000"/>
          <w:spacing w:val="0"/>
          <w:w w:val="100"/>
          <w:position w:val="0"/>
          <w:shd w:val="clear" w:color="auto" w:fill="auto"/>
          <w:lang w:val="ru-RU" w:eastAsia="ru-RU" w:bidi="ru-RU"/>
        </w:rPr>
        <w:t>111111111111111111111111</w:t>
      </w:r>
      <w:bookmarkEnd w:id="10"/>
    </w:p>
    <w:p>
      <w:pPr>
        <w:pStyle w:val="Style7"/>
        <w:keepNext w:val="0"/>
        <w:keepLines w:val="0"/>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ru-RU" w:eastAsia="ru-RU" w:bidi="ru-RU"/>
        </w:rPr>
        <w:t>2023-3390</w:t>
      </w:r>
    </w:p>
    <w:p>
      <w:pPr>
        <w:pStyle w:val="Style7"/>
        <w:keepNext w:val="0"/>
        <w:keepLines w:val="0"/>
        <w:widowControl w:val="0"/>
        <w:shd w:val="clear" w:color="auto" w:fill="auto"/>
        <w:tabs>
          <w:tab w:pos="5784" w:val="left"/>
        </w:tabs>
        <w:bidi w:val="0"/>
        <w:spacing w:before="0" w:after="0" w:line="240" w:lineRule="auto"/>
        <w:ind w:left="0" w:right="0" w:firstLine="0"/>
        <w:jc w:val="both"/>
      </w:pPr>
      <w:r>
        <w:rPr>
          <w:color w:val="000000"/>
          <w:spacing w:val="0"/>
          <w:w w:val="100"/>
          <w:position w:val="0"/>
          <w:shd w:val="clear" w:color="auto" w:fill="auto"/>
          <w:lang w:val="ru-RU" w:eastAsia="ru-RU" w:bidi="ru-RU"/>
        </w:rPr>
        <w:t>досок (извещение № 0187300014723000470) и в результате осуществления внеплановой проверки в соответствии с пунктом 1 части 15 статьи 99 Федерального закона от 05.04.2013</w:t>
        <w:tab/>
        <w:t>44-ФЗ "О</w:t>
      </w:r>
    </w:p>
    <w:p>
      <w:pPr>
        <w:pStyle w:val="Style7"/>
        <w:keepNext w:val="0"/>
        <w:keepLines w:val="0"/>
        <w:widowControl w:val="0"/>
        <w:shd w:val="clear" w:color="auto" w:fill="auto"/>
        <w:bidi w:val="0"/>
        <w:spacing w:before="0" w:after="340" w:line="240" w:lineRule="auto"/>
        <w:ind w:left="0" w:right="0" w:firstLine="0"/>
        <w:jc w:val="both"/>
      </w:pPr>
      <w:r>
        <w:rPr>
          <w:color w:val="000000"/>
          <w:spacing w:val="0"/>
          <w:w w:val="100"/>
          <w:position w:val="0"/>
          <w:shd w:val="clear" w:color="auto" w:fill="auto"/>
          <w:lang w:val="ru-RU" w:eastAsia="ru-RU" w:bidi="ru-RU"/>
        </w:rPr>
        <w:t>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keepNext/>
        <w:keepLines/>
        <w:widowControl w:val="0"/>
        <w:shd w:val="clear" w:color="auto" w:fill="auto"/>
        <w:bidi w:val="0"/>
        <w:spacing w:before="0" w:after="160" w:line="240" w:lineRule="auto"/>
        <w:ind w:left="0" w:right="0" w:firstLine="0"/>
        <w:jc w:val="center"/>
      </w:pPr>
      <w:bookmarkStart w:id="12" w:name="bookmark12"/>
      <w:r>
        <w:rPr>
          <w:color w:val="000000"/>
          <w:spacing w:val="0"/>
          <w:w w:val="100"/>
          <w:position w:val="0"/>
          <w:shd w:val="clear" w:color="auto" w:fill="auto"/>
          <w:lang w:val="ru-RU" w:eastAsia="ru-RU" w:bidi="ru-RU"/>
        </w:rPr>
        <w:t>УСТАНОВИЛА:</w:t>
      </w:r>
      <w:bookmarkEnd w:id="12"/>
    </w:p>
    <w:p>
      <w:pPr>
        <w:pStyle w:val="Style7"/>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Управление Федеральной антимонопольной службы по Ханты-Мансийскому автономному округу - Югре поступила жалоба ИП Харчука Вячеслава Александровича (ИНН: 540629217303; ОГРНИП: 318547600123914) от 26.04.2023 № 4230/23, на действия Заказчика - Муниципальное бюджетное общеобразовательное учреждение дополнительного образования «Локосовская детская школа искусств», Уполномоченного органа - Администрация Сургутского района, при проведении запроса котировок в электронной форме, предметом которого является поставка интерактивных досок (извещение № 0187300014723000470).</w:t>
      </w:r>
    </w:p>
    <w:p>
      <w:pPr>
        <w:pStyle w:val="Style7"/>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доводе жалобы Заявитель указал следующее:</w:t>
      </w:r>
    </w:p>
    <w:p>
      <w:pPr>
        <w:pStyle w:val="Style7"/>
        <w:keepNext w:val="0"/>
        <w:keepLines w:val="0"/>
        <w:widowControl w:val="0"/>
        <w:numPr>
          <w:ilvl w:val="0"/>
          <w:numId w:val="3"/>
        </w:numPr>
        <w:shd w:val="clear" w:color="auto" w:fill="auto"/>
        <w:tabs>
          <w:tab w:pos="691" w:val="left"/>
        </w:tabs>
        <w:bidi w:val="0"/>
        <w:spacing w:before="0" w:after="160" w:line="240" w:lineRule="auto"/>
        <w:ind w:left="0" w:right="0" w:firstLine="460"/>
        <w:jc w:val="both"/>
      </w:pPr>
      <w:r>
        <w:rPr>
          <w:color w:val="000000"/>
          <w:spacing w:val="0"/>
          <w:w w:val="100"/>
          <w:position w:val="0"/>
          <w:shd w:val="clear" w:color="auto" w:fill="auto"/>
          <w:lang w:val="ru-RU" w:eastAsia="ru-RU" w:bidi="ru-RU"/>
        </w:rPr>
        <w:t>Аукционная комиссия неправомерно отклонила заявку Заявителя жалобы.</w:t>
      </w:r>
    </w:p>
    <w:p>
      <w:pPr>
        <w:pStyle w:val="Style9"/>
        <w:keepNext/>
        <w:keepLines/>
        <w:widowControl w:val="0"/>
        <w:shd w:val="clear" w:color="auto" w:fill="auto"/>
        <w:bidi w:val="0"/>
        <w:spacing w:before="0" w:after="0" w:line="240" w:lineRule="auto"/>
        <w:ind w:left="0" w:right="0" w:firstLine="460"/>
        <w:jc w:val="both"/>
      </w:pPr>
      <w:bookmarkStart w:id="14" w:name="bookmark14"/>
      <w:r>
        <w:rPr>
          <w:color w:val="000000"/>
          <w:spacing w:val="0"/>
          <w:w w:val="100"/>
          <w:position w:val="0"/>
          <w:shd w:val="clear" w:color="auto" w:fill="auto"/>
          <w:lang w:val="ru-RU" w:eastAsia="ru-RU" w:bidi="ru-RU"/>
        </w:rPr>
        <w:t>В ходе рассмотрения доводов сторон, материалов дела и проведения внеплановой проверки, Комиссией Управления установлено следующее.</w:t>
      </w:r>
      <w:bookmarkEnd w:id="14"/>
    </w:p>
    <w:p>
      <w:pPr>
        <w:pStyle w:val="Style7"/>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соответствии с частью 3 статьи 7 Закона о контрактной системе информация, предусмот</w:t>
        <w:softHyphen/>
        <w:t xml:space="preserve">ренная настоящим Федеральным законом и размещенная в единой информационной системе, должна быть полной </w:t>
      </w:r>
      <w:r>
        <w:rPr>
          <w:i/>
          <w:iCs/>
          <w:color w:val="000000"/>
          <w:spacing w:val="0"/>
          <w:w w:val="100"/>
          <w:position w:val="0"/>
          <w:shd w:val="clear" w:color="auto" w:fill="auto"/>
          <w:lang w:val="ru-RU" w:eastAsia="ru-RU" w:bidi="ru-RU"/>
        </w:rPr>
        <w:t>и</w:t>
      </w:r>
      <w:r>
        <w:rPr>
          <w:color w:val="000000"/>
          <w:spacing w:val="0"/>
          <w:w w:val="100"/>
          <w:position w:val="0"/>
          <w:shd w:val="clear" w:color="auto" w:fill="auto"/>
          <w:lang w:val="ru-RU" w:eastAsia="ru-RU" w:bidi="ru-RU"/>
        </w:rPr>
        <w:t xml:space="preserve"> достоверной.</w:t>
      </w:r>
    </w:p>
    <w:p>
      <w:pPr>
        <w:pStyle w:val="Style7"/>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Согласно части 12 статьи 48 Закона о контрактной системе проведение электронного аукци</w:t>
        <w:softHyphen/>
        <w:t>она при рассмотрении вторых частей заявок на участие в закупке соответствующая заявка подле</w:t>
        <w:softHyphen/>
        <w:t>жит отклонению в случаях:</w:t>
      </w:r>
    </w:p>
    <w:p>
      <w:pPr>
        <w:pStyle w:val="Style7"/>
        <w:keepNext w:val="0"/>
        <w:keepLines w:val="0"/>
        <w:widowControl w:val="0"/>
        <w:numPr>
          <w:ilvl w:val="0"/>
          <w:numId w:val="5"/>
        </w:numPr>
        <w:shd w:val="clear" w:color="auto" w:fill="auto"/>
        <w:tabs>
          <w:tab w:pos="711"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w:t>
        <w:softHyphen/>
        <w:t>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w:t>
        <w:softHyphen/>
        <w:t>мации и документов требованиям, установленным в извещении об осуществлении закупки;</w:t>
      </w:r>
    </w:p>
    <w:p>
      <w:pPr>
        <w:pStyle w:val="Style7"/>
        <w:keepNext w:val="0"/>
        <w:keepLines w:val="0"/>
        <w:widowControl w:val="0"/>
        <w:numPr>
          <w:ilvl w:val="0"/>
          <w:numId w:val="5"/>
        </w:numPr>
        <w:shd w:val="clear" w:color="auto" w:fill="auto"/>
        <w:tabs>
          <w:tab w:pos="706"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w:t>
        <w:softHyphen/>
        <w:t>бованиям, установленным в извещении об осуществлении закупки;</w:t>
      </w:r>
    </w:p>
    <w:p>
      <w:pPr>
        <w:pStyle w:val="Style7"/>
        <w:keepNext w:val="0"/>
        <w:keepLines w:val="0"/>
        <w:widowControl w:val="0"/>
        <w:numPr>
          <w:ilvl w:val="0"/>
          <w:numId w:val="5"/>
        </w:numPr>
        <w:shd w:val="clear" w:color="auto" w:fill="auto"/>
        <w:tabs>
          <w:tab w:pos="706"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w:t>
        <w:softHyphen/>
        <w:t>ствлении закупки в соответствии с частью 1 статьи 31 настоящего Федерального закона, требова</w:t>
        <w:softHyphen/>
        <w:t>ниям, установленным в извещении об осуществлении закупки в соответствии с частями 1.1,2 и 2.1 (при наличии таких требований) статьи 31 настоящего Федерального закона;</w:t>
      </w:r>
    </w:p>
    <w:p>
      <w:pPr>
        <w:pStyle w:val="Style7"/>
        <w:keepNext w:val="0"/>
        <w:keepLines w:val="0"/>
        <w:widowControl w:val="0"/>
        <w:numPr>
          <w:ilvl w:val="0"/>
          <w:numId w:val="5"/>
        </w:numPr>
        <w:shd w:val="clear" w:color="auto" w:fill="auto"/>
        <w:tabs>
          <w:tab w:pos="711"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w:t>
        <w:softHyphen/>
        <w:t>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7"/>
        <w:keepNext w:val="0"/>
        <w:keepLines w:val="0"/>
        <w:widowControl w:val="0"/>
        <w:numPr>
          <w:ilvl w:val="0"/>
          <w:numId w:val="5"/>
        </w:numPr>
        <w:shd w:val="clear" w:color="auto" w:fill="auto"/>
        <w:tabs>
          <w:tab w:pos="711"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w:t>
        <w:softHyphen/>
        <w:t>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7"/>
        <w:keepNext w:val="0"/>
        <w:keepLines w:val="0"/>
        <w:widowControl w:val="0"/>
        <w:numPr>
          <w:ilvl w:val="0"/>
          <w:numId w:val="5"/>
        </w:numPr>
        <w:shd w:val="clear" w:color="auto" w:fill="auto"/>
        <w:tabs>
          <w:tab w:pos="702"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И 127-ФЗ "О мерах воздействия (противодей</w:t>
        <w:softHyphen/>
        <w:t>ствия) на недружественные действия Соединенных Штатов Америки и иных иностранных госу</w:t>
        <w:softHyphen/>
        <w:t>дарств", в случае осуществления закупки работ; услуг, включенных в перечень, определенный Пра</w:t>
        <w:softHyphen/>
      </w:r>
      <w:r>
        <w:rPr>
          <w:color w:val="000000"/>
          <w:spacing w:val="0"/>
          <w:w w:val="100"/>
          <w:position w:val="0"/>
          <w:shd w:val="clear" w:color="auto" w:fill="auto"/>
          <w:lang w:val="ru-RU" w:eastAsia="ru-RU" w:bidi="ru-RU"/>
        </w:rPr>
        <w:t>вительством Российской Федерации в соответствии с указанным пунктом;</w:t>
      </w:r>
    </w:p>
    <w:p>
      <w:pPr>
        <w:pStyle w:val="Style7"/>
        <w:keepNext w:val="0"/>
        <w:keepLines w:val="0"/>
        <w:widowControl w:val="0"/>
        <w:numPr>
          <w:ilvl w:val="0"/>
          <w:numId w:val="5"/>
        </w:numPr>
        <w:shd w:val="clear" w:color="auto" w:fill="auto"/>
        <w:tabs>
          <w:tab w:pos="1074" w:val="left"/>
        </w:tabs>
        <w:bidi w:val="0"/>
        <w:spacing w:before="0" w:after="0" w:line="240" w:lineRule="auto"/>
        <w:ind w:left="0" w:right="0" w:firstLine="440"/>
        <w:jc w:val="both"/>
      </w:pPr>
      <w:r>
        <w:rPr>
          <w:color w:val="000000"/>
          <w:spacing w:val="0"/>
          <w:w w:val="100"/>
          <w:position w:val="0"/>
          <w:shd w:val="clear" w:color="auto" w:fill="auto"/>
          <w:lang w:val="ru-RU" w:eastAsia="ru-RU" w:bidi="ru-RU"/>
        </w:rPr>
        <w:t>предусмотренных частью б статьи 45 настоящего Федерального закона;</w:t>
      </w:r>
    </w:p>
    <w:p>
      <w:pPr>
        <w:pStyle w:val="Style7"/>
        <w:keepNext w:val="0"/>
        <w:keepLines w:val="0"/>
        <w:widowControl w:val="0"/>
        <w:numPr>
          <w:ilvl w:val="0"/>
          <w:numId w:val="5"/>
        </w:numPr>
        <w:shd w:val="clear" w:color="auto" w:fill="auto"/>
        <w:tabs>
          <w:tab w:pos="1074" w:val="left"/>
        </w:tabs>
        <w:bidi w:val="0"/>
        <w:spacing w:before="0" w:after="0" w:line="240" w:lineRule="auto"/>
        <w:ind w:left="0" w:right="0" w:firstLine="44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7"/>
        <w:keepNext w:val="0"/>
        <w:keepLines w:val="0"/>
        <w:widowControl w:val="0"/>
        <w:numPr>
          <w:ilvl w:val="0"/>
          <w:numId w:val="5"/>
        </w:numPr>
        <w:shd w:val="clear" w:color="auto" w:fill="auto"/>
        <w:tabs>
          <w:tab w:pos="1074" w:val="left"/>
        </w:tabs>
        <w:bidi w:val="0"/>
        <w:spacing w:before="0" w:after="0" w:line="240" w:lineRule="auto"/>
        <w:ind w:left="0" w:right="0" w:firstLine="44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w:t>
      </w:r>
    </w:p>
    <w:p>
      <w:pPr>
        <w:pStyle w:val="Style7"/>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w:t>
        <w:softHyphen/>
        <w:t>стие в закупке, но не позднее даты подведения итогов определения поставщика (подрядчика, ис</w:t>
        <w:softHyphen/>
        <w:t>полнителя), установленной в извещении об осуществлении закупки члены комиссии по осуще</w:t>
        <w:softHyphen/>
        <w:t>ствлению закупок рассматривают заявки на участие в закупке, информацию и документы, направ</w:t>
        <w:softHyphen/>
        <w:t>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w:t>
        <w:softHyphen/>
        <w:t>ренным пунктами 1-8 части 12 статьи 48 настоящего Федерального закона.</w:t>
      </w:r>
    </w:p>
    <w:p>
      <w:pPr>
        <w:pStyle w:val="Style7"/>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соответствии с требованиями части 1 и 2 статьи 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также - электронный аукцион), закрытый аукцион), запрос котировок.</w:t>
      </w:r>
    </w:p>
    <w:p>
      <w:pPr>
        <w:pStyle w:val="Style7"/>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Согласно извещению о проведении запроса котировок № 0187300014723000470 предметом закупки является - поставка интерактивных досок.</w:t>
      </w:r>
    </w:p>
    <w:p>
      <w:pPr>
        <w:pStyle w:val="Style7"/>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документации Заказчиком было установлено требование к участникам в соответствии с п. 1 ч. 1 статьи 31 Федерального закона № 44-ФЗ:</w:t>
      </w:r>
    </w:p>
    <w:p>
      <w:pPr>
        <w:pStyle w:val="Style7"/>
        <w:keepNext w:val="0"/>
        <w:keepLines w:val="0"/>
        <w:widowControl w:val="0"/>
        <w:numPr>
          <w:ilvl w:val="0"/>
          <w:numId w:val="7"/>
        </w:numPr>
        <w:shd w:val="clear" w:color="auto" w:fill="auto"/>
        <w:tabs>
          <w:tab w:pos="623" w:val="left"/>
        </w:tabs>
        <w:bidi w:val="0"/>
        <w:spacing w:before="0" w:after="0" w:line="240" w:lineRule="auto"/>
        <w:ind w:left="0" w:right="0" w:firstLine="440"/>
        <w:jc w:val="both"/>
      </w:pPr>
      <w:r>
        <w:rPr>
          <w:color w:val="000000"/>
          <w:spacing w:val="0"/>
          <w:w w:val="100"/>
          <w:position w:val="0"/>
          <w:shd w:val="clear" w:color="auto" w:fill="auto"/>
          <w:lang w:val="ru-RU" w:eastAsia="ru-RU" w:bidi="ru-RU"/>
        </w:rPr>
        <w:t>Единые требования к участникам закупок в соответствии с ч. 1 ст. 31 Закона № 44-ФЗ</w:t>
      </w:r>
    </w:p>
    <w:p>
      <w:pPr>
        <w:pStyle w:val="Style7"/>
        <w:keepNext w:val="0"/>
        <w:keepLines w:val="0"/>
        <w:widowControl w:val="0"/>
        <w:numPr>
          <w:ilvl w:val="0"/>
          <w:numId w:val="7"/>
        </w:numPr>
        <w:shd w:val="clear" w:color="auto" w:fill="auto"/>
        <w:tabs>
          <w:tab w:pos="652" w:val="left"/>
        </w:tabs>
        <w:bidi w:val="0"/>
        <w:spacing w:before="0" w:after="0" w:line="240" w:lineRule="auto"/>
        <w:ind w:left="0" w:right="0" w:firstLine="440"/>
        <w:jc w:val="both"/>
      </w:pPr>
      <w:r>
        <w:rPr>
          <w:color w:val="000000"/>
          <w:spacing w:val="0"/>
          <w:w w:val="100"/>
          <w:position w:val="0"/>
          <w:shd w:val="clear" w:color="auto" w:fill="auto"/>
          <w:lang w:val="ru-RU" w:eastAsia="ru-RU" w:bidi="ru-RU"/>
        </w:rPr>
        <w:t>Требования к участникам закупок в соответствии с ч. 1.1 ст. 31 Закона № 44-ФЗ</w:t>
      </w:r>
    </w:p>
    <w:p>
      <w:pPr>
        <w:pStyle w:val="Style7"/>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 xml:space="preserve">Ограничения: 1 Запрет на допуск товаров, работ; услуг при осуществлении закупок, а также ограничения </w:t>
      </w:r>
      <w:r>
        <w:rPr>
          <w:i/>
          <w:iCs/>
          <w:color w:val="000000"/>
          <w:spacing w:val="0"/>
          <w:w w:val="100"/>
          <w:position w:val="0"/>
          <w:shd w:val="clear" w:color="auto" w:fill="auto"/>
          <w:lang w:val="ru-RU" w:eastAsia="ru-RU" w:bidi="ru-RU"/>
        </w:rPr>
        <w:t>и</w:t>
      </w:r>
      <w:r>
        <w:rPr>
          <w:color w:val="000000"/>
          <w:spacing w:val="0"/>
          <w:w w:val="100"/>
          <w:position w:val="0"/>
          <w:shd w:val="clear" w:color="auto" w:fill="auto"/>
          <w:lang w:val="ru-RU" w:eastAsia="ru-RU" w:bidi="ru-RU"/>
        </w:rPr>
        <w:t xml:space="preserve"> условия допуска в соответствии с требованиями, установленными ст. 14 Закона № 44-ФЗ.</w:t>
      </w:r>
    </w:p>
    <w:p>
      <w:pPr>
        <w:pStyle w:val="Style7"/>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Ограничение допуска: Постановление Правительства РФ 14 878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К 925 и признании утратившими силу некоторых актов Правительства Российской Федерации"</w:t>
      </w:r>
    </w:p>
    <w:p>
      <w:pPr>
        <w:pStyle w:val="Style7"/>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Условие допуска: Участникам, заявки или окончательные предложения которых содержат предложения о поставке товаров в соответствии с приказом Минфина России № 126н от 04.06.2018.</w:t>
      </w:r>
    </w:p>
    <w:p>
      <w:pPr>
        <w:pStyle w:val="Style7"/>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25.04.2023 №ИЗК1 было подано 7 заявок. Из которых 6 заявок участников были отклонены в со</w:t>
        <w:softHyphen/>
        <w:t>ответствии с подпунктом «а» пункта 1 части 3 статьи 50 Федерального закона от 05.04.2013 № 44- ФЗ «О контрактной системе в сфере закупок товаров, работ, услуг для обеспечения государствен</w:t>
        <w:softHyphen/>
        <w:t>ных и муниципальных нужд» (далее - Закон) заявка на участие в закупке подлежит отклонению по основаниям, предусмотренным пунктом 4 части 12 статьи 48 Закона - несоответствие требованиям нормативных правовых актов, принятых в соответствии со ст. 14 Закона, требованиям, установлен</w:t>
        <w:softHyphen/>
        <w:t>ным в извещении об осуществлении закупки(п.З постановления Правительства РФ от 10.07.2019 К 878 "О мерах стимулирования производства радиоэлектронной продукции на территории Россий</w:t>
        <w:softHyphen/>
        <w:t>ской Федерации при осуществлении закупок товаров, работ, услуг для обеспечения государствен</w:t>
        <w:softHyphen/>
        <w:t>ных и муниципальных нужд, о внесении изменений в постановление Правительства Российской Федерации от 16 сентября 2016 г. К 925 и признании утратившими силу некоторых актов Прави</w:t>
        <w:softHyphen/>
        <w:t>тельства Российской Федерации" далее-Постановление):- участником закупки в составе заявки не 2023-3390</w:t>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представлено подтверждение соответствия товаров требованиям, установленным Постановлением, отсутствует номер реестровой записи из реестра или евразийского реестра промышленных това</w:t>
        <w:softHyphen/>
        <w:t>ров. Заявка участника приравнивается к заявке, в которой содержится предложение о поставке то</w:t>
        <w:softHyphen/>
        <w:t>варов, происходящих из иностранного государства. При осуществлении закупок радиоэлектронной продукции, включенной в перечень Постановления, отклонению подлежат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w:t>
        <w:softHyphen/>
        <w:t>нии закупки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7"/>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Согласно подпункту "в" пункта 2 части 1 статьи 43 Закона о контрактной системе для уча</w:t>
        <w:softHyphen/>
        <w:t>стия в конкурентном способе заявка на участие в закупке, если иное не предусмотрено данным за</w:t>
        <w:softHyphen/>
        <w:t>коном, должна содержать предложение участника закупки в отношении объекта закупки, в том числе документы, подтверждающие соответствие товара, работы или услуги требованиям, уста</w:t>
        <w:softHyphen/>
        <w:t>новленным в соответствии с законодательством Российской Федерации.</w:t>
      </w:r>
    </w:p>
    <w:p>
      <w:pPr>
        <w:pStyle w:val="Style7"/>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При этом согласно части 5 статьи 43 Закона о контрактной системе подача заявки на уча</w:t>
        <w:softHyphen/>
        <w:t>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w:t>
        <w:softHyphen/>
        <w:t>нии закупки, в том числе подтверждение соответствия установленным в извещении об осуще</w:t>
        <w:softHyphen/>
        <w:t>ствлении закупки требованиям к участникам закупки.</w:t>
      </w:r>
    </w:p>
    <w:p>
      <w:pPr>
        <w:pStyle w:val="Style7"/>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В соответствии с пунктом 3 Постановление Правительства РФ от 10.07.201914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w:t>
        <w:softHyphen/>
        <w:t>пальных нужд, о внесении изменений в постановление Правительства Российской Федерации от 16 сентября 2016 г. 14 925 и признании утратившими силу некоторых актов Правительства Россий</w:t>
        <w:softHyphen/>
        <w:t>ской Федерации" устанавливает, что для подтверждения соответствия радиоэлектронной продук</w:t>
        <w:softHyphen/>
        <w:t>ции условиям, предусмотренным подпунктами "а" - "в" пункта 3 настоящего постановления, участник закупки в составе заявки на участие в закупке представляет следующие документы и (или) информацию соответственно:</w:t>
      </w:r>
    </w:p>
    <w:p>
      <w:pPr>
        <w:pStyle w:val="Style7"/>
        <w:keepNext w:val="0"/>
        <w:keepLines w:val="0"/>
        <w:widowControl w:val="0"/>
        <w:numPr>
          <w:ilvl w:val="0"/>
          <w:numId w:val="9"/>
        </w:numPr>
        <w:shd w:val="clear" w:color="auto" w:fill="auto"/>
        <w:tabs>
          <w:tab w:pos="634" w:val="left"/>
        </w:tabs>
        <w:bidi w:val="0"/>
        <w:spacing w:before="0" w:after="0" w:line="240" w:lineRule="auto"/>
        <w:ind w:left="0" w:right="0" w:firstLine="480"/>
        <w:jc w:val="both"/>
      </w:pPr>
      <w:r>
        <w:rPr>
          <w:color w:val="000000"/>
          <w:spacing w:val="0"/>
          <w:w w:val="100"/>
          <w:position w:val="0"/>
          <w:shd w:val="clear" w:color="auto" w:fill="auto"/>
          <w:lang w:val="ru-RU" w:eastAsia="ru-RU" w:bidi="ru-RU"/>
        </w:rPr>
        <w:t>номер реестровой записи из реестра, а также информация о совокупном количестве бал</w:t>
        <w:softHyphen/>
        <w:t>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К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w:t>
        <w:softHyphen/>
        <w:t>стве баллов за выполнение (освоение) соответствующих операций (условий);</w:t>
      </w:r>
    </w:p>
    <w:p>
      <w:pPr>
        <w:pStyle w:val="Style7"/>
        <w:keepNext w:val="0"/>
        <w:keepLines w:val="0"/>
        <w:widowControl w:val="0"/>
        <w:numPr>
          <w:ilvl w:val="0"/>
          <w:numId w:val="9"/>
        </w:numPr>
        <w:shd w:val="clear" w:color="auto" w:fill="auto"/>
        <w:tabs>
          <w:tab w:pos="630" w:val="left"/>
        </w:tabs>
        <w:bidi w:val="0"/>
        <w:spacing w:before="0" w:after="0" w:line="240" w:lineRule="auto"/>
        <w:ind w:left="0" w:right="0" w:firstLine="480"/>
        <w:jc w:val="both"/>
      </w:pPr>
      <w:r>
        <w:rPr>
          <w:color w:val="000000"/>
          <w:spacing w:val="0"/>
          <w:w w:val="100"/>
          <w:position w:val="0"/>
          <w:shd w:val="clear" w:color="auto" w:fill="auto"/>
          <w:lang w:val="ru-RU" w:eastAsia="ru-RU" w:bidi="ru-RU"/>
        </w:rPr>
        <w:t>номер реестровой записи из евразийского реестра промышленных товаров, а также ин</w:t>
        <w:softHyphen/>
        <w:t>формация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w:t>
        <w:softHyphen/>
        <w:t>шением Совета Евразийской экономической комиссии от 23 ноября 2020 г. 14 105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w:t>
        <w:softHyphen/>
        <w:t>купном количестве баллов за выполнение (освоение) соответствующих операций (условий);</w:t>
      </w:r>
    </w:p>
    <w:p>
      <w:pPr>
        <w:pStyle w:val="Style7"/>
        <w:keepNext w:val="0"/>
        <w:keepLines w:val="0"/>
        <w:widowControl w:val="0"/>
        <w:numPr>
          <w:ilvl w:val="0"/>
          <w:numId w:val="9"/>
        </w:numPr>
        <w:shd w:val="clear" w:color="auto" w:fill="auto"/>
        <w:tabs>
          <w:tab w:pos="1084"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копия сертификата по форме СТ-1.</w:t>
      </w:r>
    </w:p>
    <w:p>
      <w:pPr>
        <w:pStyle w:val="Style7"/>
        <w:keepNext w:val="0"/>
        <w:keepLines w:val="0"/>
        <w:widowControl w:val="0"/>
        <w:shd w:val="clear" w:color="auto" w:fill="auto"/>
        <w:bidi w:val="0"/>
        <w:spacing w:before="0" w:after="0" w:line="240" w:lineRule="auto"/>
        <w:ind w:left="0" w:right="0" w:firstLine="480"/>
        <w:jc w:val="both"/>
        <w:sectPr>
          <w:footnotePr>
            <w:pos w:val="pageBottom"/>
            <w:numFmt w:val="decimal"/>
            <w:numRestart w:val="continuous"/>
          </w:footnotePr>
          <w:type w:val="continuous"/>
          <w:pgSz w:w="8400" w:h="11900"/>
          <w:pgMar w:top="775" w:right="1079" w:bottom="1613" w:left="789" w:header="0" w:footer="3" w:gutter="0"/>
          <w:cols w:space="720"/>
          <w:noEndnote/>
          <w:rtlGutter w:val="0"/>
          <w:docGrid w:linePitch="360"/>
        </w:sectPr>
      </w:pPr>
      <w:r>
        <w:rPr>
          <w:color w:val="000000"/>
          <w:spacing w:val="0"/>
          <w:w w:val="100"/>
          <w:position w:val="0"/>
          <w:shd w:val="clear" w:color="auto" w:fill="auto"/>
          <w:lang w:val="ru-RU" w:eastAsia="ru-RU" w:bidi="ru-RU"/>
        </w:rPr>
        <w:t>В случае предоставления участником закупки в составе заявки на участие в закупке в соот</w:t>
        <w:softHyphen/>
        <w:t>ветствии с абзацами вторым и третьим настоящего пункта информации из реестра или евразийско</w:t>
        <w:softHyphen/>
        <w:t>го реестра промышленных товаров без указания информации о совокупном количестве баллов в отношении продукции, для которой установлены требования о совокупном количестве баллов за выполнение (освоение) соответствующих операций (условий), или с указанием совокупного коли</w:t>
        <w:softHyphen/>
        <w:t>чества баллов, не соответствующего требованиям, установленным для целей закупок постановле</w:t>
        <w:softHyphen/>
        <w:t>нием Правительства Российской Федерации от 17 июля 2015 г. № 719 "О подтверждении произ</w:t>
        <w:softHyphen/>
        <w:t>водства промышленной продукции на территории Российской Федерации" или решением Совета Евразийской экономической комиссии от 23 ноября 2020 г. № 105 "Об утверждении Правил опре</w:t>
        <w:softHyphen/>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деления страны происхождения отдельных видов товаров для целей государственных (муници</w:t>
        <w:softHyphen/>
        <w:t>пальных) закупок" соответственно, такая заявка приравнивается к заявке, в которой содержится предложение о поставке продукции, происходящей из иностранных государств».</w:t>
      </w:r>
    </w:p>
    <w:p>
      <w:pPr>
        <w:pStyle w:val="Style7"/>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При осуществлении закупок радиоэлектронной продукции, включенной в перечень, заказ</w:t>
        <w:softHyphen/>
        <w:t>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w:t>
        <w:softHyphen/>
        <w:t>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w:t>
        <w:softHyphen/>
        <w:t>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w:t>
        <w:softHyphen/>
        <w:t>жащая предложение о поставке радиоэлектронной продукции, страной происхождения которой яв</w:t>
        <w:softHyphen/>
        <w:t>ляются только государства - члены Евразийского экономического союза.</w:t>
      </w:r>
    </w:p>
    <w:p>
      <w:pPr>
        <w:pStyle w:val="Style7"/>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Комиссия Управления, изучив заявку ИП Харчука В.А. под номером 1, установила следую</w:t>
        <w:softHyphen/>
        <w:t>щее.</w:t>
      </w:r>
    </w:p>
    <w:p>
      <w:pPr>
        <w:pStyle w:val="Style7"/>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составе заявки заявителя предоставлена выписка из реестра российской промышленной продукции, с указанием реестровой записи № 874\1\2023, декларация о соответствии ЕЭС с указа</w:t>
        <w:softHyphen/>
        <w:t>нием в ней подтверждения страны происхождения предлагаемого товара, а также Сертификат СТ-1 на предлагаемый товар, что в своей жалобе подтверждает заявитель.</w:t>
      </w:r>
    </w:p>
    <w:p>
      <w:pPr>
        <w:pStyle w:val="Style7"/>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Таким образом в заявке не представлены номер реестровой записи из реестра российской радиоэлектронной продукции или номер реестровой записи из евразийского реестра промышлен</w:t>
        <w:softHyphen/>
        <w:t>ных товаров.</w:t>
      </w:r>
    </w:p>
    <w:p>
      <w:pPr>
        <w:pStyle w:val="Style7"/>
        <w:keepNext w:val="0"/>
        <w:keepLines w:val="0"/>
        <w:widowControl w:val="0"/>
        <w:shd w:val="clear" w:color="auto" w:fill="auto"/>
        <w:bidi w:val="0"/>
        <w:spacing w:before="0" w:after="160" w:line="240" w:lineRule="auto"/>
        <w:ind w:left="0" w:right="0" w:firstLine="460"/>
        <w:jc w:val="both"/>
      </w:pPr>
      <w:r>
        <w:rPr>
          <w:color w:val="000000"/>
          <w:spacing w:val="0"/>
          <w:w w:val="100"/>
          <w:position w:val="0"/>
          <w:shd w:val="clear" w:color="auto" w:fill="auto"/>
          <w:lang w:val="ru-RU" w:eastAsia="ru-RU" w:bidi="ru-RU"/>
        </w:rPr>
        <w:t>На основании вышеизложенного, довод является необоснованным, поскольку Комиссией Управления установлено, что заявка ИП Харчука В.А. под номером 1 на участие в закупке несоот- ветствует требованиям, установленным в соответствии с законодательством Российской Федера</w:t>
        <w:softHyphen/>
        <w:t>ции к лицам, осуществляющим поставку товара, являющимся объектом закупки.</w:t>
      </w:r>
    </w:p>
    <w:p>
      <w:pPr>
        <w:pStyle w:val="Style7"/>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Жалоба ИП Харчука Вячеслава Александровича (ИНН: 540629217303; ОГРНИП: 318547600123914) от 26.04.2023 № 4230/23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7"/>
        <w:keepNext w:val="0"/>
        <w:keepLines w:val="0"/>
        <w:widowControl w:val="0"/>
        <w:shd w:val="clear" w:color="auto" w:fill="auto"/>
        <w:bidi w:val="0"/>
        <w:spacing w:before="0" w:after="160" w:line="240" w:lineRule="auto"/>
        <w:ind w:left="0" w:right="0" w:firstLine="460"/>
        <w:jc w:val="both"/>
      </w:pPr>
      <w:r>
        <w:rPr>
          <w:color w:val="000000"/>
          <w:spacing w:val="0"/>
          <w:w w:val="100"/>
          <w:position w:val="0"/>
          <w:shd w:val="clear" w:color="auto" w:fill="auto"/>
          <w:lang w:val="ru-RU" w:eastAsia="ru-RU" w:bidi="ru-RU"/>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9"/>
        <w:keepNext/>
        <w:keepLines/>
        <w:widowControl w:val="0"/>
        <w:shd w:val="clear" w:color="auto" w:fill="auto"/>
        <w:bidi w:val="0"/>
        <w:spacing w:before="0" w:after="160" w:line="240" w:lineRule="auto"/>
        <w:ind w:left="0" w:right="0" w:firstLine="0"/>
        <w:jc w:val="center"/>
      </w:pPr>
      <w:bookmarkStart w:id="16" w:name="bookmark16"/>
      <w:r>
        <w:rPr>
          <w:color w:val="000000"/>
          <w:spacing w:val="0"/>
          <w:w w:val="100"/>
          <w:position w:val="0"/>
          <w:shd w:val="clear" w:color="auto" w:fill="auto"/>
          <w:lang w:val="ru-RU" w:eastAsia="ru-RU" w:bidi="ru-RU"/>
        </w:rPr>
        <w:t>РЕШИЛА:</w:t>
      </w:r>
      <w:bookmarkEnd w:id="16"/>
    </w:p>
    <w:p>
      <w:pPr>
        <w:pStyle w:val="Style7"/>
        <w:keepNext w:val="0"/>
        <w:keepLines w:val="0"/>
        <w:widowControl w:val="0"/>
        <w:numPr>
          <w:ilvl w:val="0"/>
          <w:numId w:val="11"/>
        </w:numPr>
        <w:shd w:val="clear" w:color="auto" w:fill="auto"/>
        <w:tabs>
          <w:tab w:pos="692"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Признать жалобу ИП Харчука Вячеслава Александровича (ИНН: 540629217303; ОГРНИП: 318547600123914) от 26.04.2023 № 4230/23, на действия Заказчика - Муниципальное бюджетное общеобразовательное учреждение дополнительного образования «Локосовская детская школа искусств», Уполномоченного органа - Администрация Сургутского района, при проведении запроса котировок в электронной форме, предметом которого является поставка интерактивных досок (извещение № 0187300014723000470) необоснованной.</w:t>
      </w:r>
    </w:p>
    <w:p>
      <w:pPr>
        <w:pStyle w:val="Style7"/>
        <w:keepNext w:val="0"/>
        <w:keepLines w:val="0"/>
        <w:widowControl w:val="0"/>
        <w:numPr>
          <w:ilvl w:val="0"/>
          <w:numId w:val="11"/>
        </w:numPr>
        <w:shd w:val="clear" w:color="auto" w:fill="auto"/>
        <w:tabs>
          <w:tab w:pos="1137"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Обязательное для исполнения предписание не выдавать.</w:t>
      </w:r>
    </w:p>
    <w:p>
      <w:pPr>
        <w:pStyle w:val="Style7"/>
        <w:keepNext w:val="0"/>
        <w:keepLines w:val="0"/>
        <w:widowControl w:val="0"/>
        <w:numPr>
          <w:ilvl w:val="0"/>
          <w:numId w:val="11"/>
        </w:numPr>
        <w:shd w:val="clear" w:color="auto" w:fill="auto"/>
        <w:tabs>
          <w:tab w:pos="682" w:val="left"/>
        </w:tabs>
        <w:bidi w:val="0"/>
        <w:spacing w:before="0" w:after="160" w:line="240" w:lineRule="auto"/>
        <w:ind w:left="0" w:right="0" w:firstLine="460"/>
        <w:jc w:val="both"/>
        <w:sectPr>
          <w:footerReference w:type="default" r:id="rId9"/>
          <w:footerReference w:type="even" r:id="rId10"/>
          <w:footnotePr>
            <w:pos w:val="pageBottom"/>
            <w:numFmt w:val="decimal"/>
            <w:numRestart w:val="continuous"/>
          </w:footnotePr>
          <w:type w:val="continuous"/>
          <w:pgSz w:w="8400" w:h="11900"/>
          <w:pgMar w:top="775" w:right="1079" w:bottom="1613" w:left="789" w:header="347" w:footer="3" w:gutter="0"/>
          <w:cols w:space="720"/>
          <w:noEndnote/>
          <w:rtlGutter w:val="0"/>
          <w:docGrid w:linePitch="360"/>
        </w:sectPr>
      </w:pPr>
      <w:r>
        <w:rPr>
          <w:color w:val="000000"/>
          <w:spacing w:val="0"/>
          <w:w w:val="100"/>
          <w:position w:val="0"/>
          <w:shd w:val="clear" w:color="auto" w:fill="auto"/>
          <w:lang w:val="ru-RU" w:eastAsia="ru-RU" w:bidi="ru-RU"/>
        </w:rPr>
        <w:t>Направить данное решение сторонам и опубликовать на официальном сайте единой информационной системы в сфере закупок (</w:t>
      </w:r>
      <w:r>
        <w:rPr>
          <w:color w:val="000000"/>
          <w:spacing w:val="0"/>
          <w:w w:val="100"/>
          <w:position w:val="0"/>
          <w:u w:val="single"/>
          <w:shd w:val="clear" w:color="auto" w:fill="auto"/>
          <w:lang w:val="ru-RU" w:eastAsia="ru-RU" w:bidi="ru-RU"/>
        </w:rPr>
        <w:t>угулу.хакцркгеоу.ти)</w:t>
      </w:r>
      <w:r>
        <w:rPr>
          <w:color w:val="000000"/>
          <w:spacing w:val="0"/>
          <w:w w:val="100"/>
          <w:position w:val="0"/>
          <w:shd w:val="clear" w:color="auto" w:fill="auto"/>
          <w:lang w:val="ru-RU" w:eastAsia="ru-RU" w:bidi="ru-RU"/>
        </w:rPr>
        <w:t>.</w:t>
      </w:r>
    </w:p>
    <w:p>
      <w:pPr>
        <w:pStyle w:val="Style7"/>
        <w:keepNext w:val="0"/>
        <w:keepLines w:val="0"/>
        <w:framePr w:w="1589" w:h="206" w:wrap="none" w:hAnchor="page" w:x="853" w:y="4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7"/>
        <w:keepNext w:val="0"/>
        <w:keepLines w:val="0"/>
        <w:framePr w:w="1171" w:h="192" w:wrap="none" w:hAnchor="page" w:x="853" w:y="95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7"/>
        <w:keepNext w:val="0"/>
        <w:keepLines w:val="0"/>
        <w:framePr w:w="1157" w:h="202" w:wrap="none" w:hAnchor="page" w:x="6128" w:y="42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Е.А. Андрейцева</w:t>
      </w:r>
    </w:p>
    <w:p>
      <w:pPr>
        <w:pStyle w:val="Style7"/>
        <w:keepNext w:val="0"/>
        <w:keepLines w:val="0"/>
        <w:framePr w:w="946" w:h="206" w:wrap="none" w:hAnchor="page" w:x="6133" w:y="9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С.И. Сафонов</w:t>
      </w:r>
    </w:p>
    <w:p>
      <w:pPr>
        <w:pStyle w:val="Style7"/>
        <w:keepNext w:val="0"/>
        <w:keepLines w:val="0"/>
        <w:framePr w:w="1037" w:h="202" w:wrap="none" w:hAnchor="page" w:x="6124" w:y="147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Ю.А. Петухова</w:t>
      </w:r>
    </w:p>
    <w:p>
      <w:pPr>
        <w:pStyle w:val="Style18"/>
        <w:keepNext w:val="0"/>
        <w:keepLines w:val="0"/>
        <w:framePr w:w="6019" w:h="154" w:wrap="none" w:hAnchor="page" w:x="1285" w:y="198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 принятое по результатам рассмотрения жалобы по существу;'Аюжет быть обжаловано в судебном порядке в течение трех</w:t>
      </w:r>
    </w:p>
    <w:p>
      <w:pPr>
        <w:pStyle w:val="Style18"/>
        <w:keepNext w:val="0"/>
        <w:keepLines w:val="0"/>
        <w:framePr w:w="1181" w:h="139" w:wrap="none" w:hAnchor="page" w:x="858" w:y="211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месяцев с даты принятия.</w:t>
      </w:r>
    </w:p>
    <w:p>
      <w:pPr>
        <w:widowControl w:val="0"/>
        <w:spacing w:line="360" w:lineRule="exact"/>
      </w:pPr>
      <w:r>
        <w:drawing>
          <wp:anchor distT="0" distB="0" distL="0" distR="0" simplePos="0" relativeHeight="62914696" behindDoc="1" locked="0" layoutInCell="1" allowOverlap="1">
            <wp:simplePos x="0" y="0"/>
            <wp:positionH relativeFrom="page">
              <wp:posOffset>2811780</wp:posOffset>
            </wp:positionH>
            <wp:positionV relativeFrom="margin">
              <wp:posOffset>0</wp:posOffset>
            </wp:positionV>
            <wp:extent cx="975360" cy="1268095"/>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975360" cy="126809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55" w:line="1" w:lineRule="exact"/>
      </w:pPr>
    </w:p>
    <w:p>
      <w:pPr>
        <w:widowControl w:val="0"/>
        <w:spacing w:line="1" w:lineRule="exact"/>
      </w:pPr>
    </w:p>
    <w:sectPr>
      <w:footnotePr>
        <w:pos w:val="pageBottom"/>
        <w:numFmt w:val="decimal"/>
        <w:numRestart w:val="continuous"/>
      </w:footnotePr>
      <w:pgSz w:w="8400" w:h="11900"/>
      <w:pgMar w:top="605" w:right="1096" w:bottom="1591" w:left="852" w:header="177"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548005</wp:posOffset>
              </wp:positionH>
              <wp:positionV relativeFrom="page">
                <wp:posOffset>6598920</wp:posOffset>
              </wp:positionV>
              <wp:extent cx="414655" cy="69850"/>
              <wp:wrapNone/>
              <wp:docPr id="3" name="Shape 3"/>
              <a:graphic xmlns:a="http://schemas.openxmlformats.org/drawingml/2006/main">
                <a:graphicData uri="http://schemas.microsoft.com/office/word/2010/wordprocessingShape">
                  <wps:wsp>
                    <wps:cNvSpPr txBox="1"/>
                    <wps:spPr>
                      <a:xfrm>
                        <a:ext cx="414655" cy="698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2023-3390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43.149999999999999pt;margin-top:519.60000000000002pt;width:32.649999999999999pt;height:5.5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2023-3390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548005</wp:posOffset>
              </wp:positionH>
              <wp:positionV relativeFrom="page">
                <wp:posOffset>6598920</wp:posOffset>
              </wp:positionV>
              <wp:extent cx="414655" cy="69850"/>
              <wp:wrapNone/>
              <wp:docPr id="7" name="Shape 7"/>
              <a:graphic xmlns:a="http://schemas.openxmlformats.org/drawingml/2006/main">
                <a:graphicData uri="http://schemas.microsoft.com/office/word/2010/wordprocessingShape">
                  <wps:wsp>
                    <wps:cNvSpPr txBox="1"/>
                    <wps:spPr>
                      <a:xfrm>
                        <a:ext cx="414655" cy="698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2023-3390</w:t>
                          </w:r>
                        </w:p>
                      </w:txbxContent>
                    </wps:txbx>
                    <wps:bodyPr wrap="none" lIns="0" tIns="0" rIns="0" bIns="0">
                      <a:spAutoFit/>
                    </wps:bodyPr>
                  </wps:wsp>
                </a:graphicData>
              </a:graphic>
            </wp:anchor>
          </w:drawing>
        </mc:Choice>
        <mc:Fallback>
          <w:pict>
            <v:shape id="_x0000_s1033" type="#_x0000_t202" style="position:absolute;margin-left:43.149999999999999pt;margin-top:519.60000000000002pt;width:32.649999999999999pt;height:5.5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2023-3390</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548005</wp:posOffset>
              </wp:positionH>
              <wp:positionV relativeFrom="page">
                <wp:posOffset>6598920</wp:posOffset>
              </wp:positionV>
              <wp:extent cx="414655" cy="69850"/>
              <wp:wrapNone/>
              <wp:docPr id="9" name="Shape 9"/>
              <a:graphic xmlns:a="http://schemas.openxmlformats.org/drawingml/2006/main">
                <a:graphicData uri="http://schemas.microsoft.com/office/word/2010/wordprocessingShape">
                  <wps:wsp>
                    <wps:cNvSpPr txBox="1"/>
                    <wps:spPr>
                      <a:xfrm>
                        <a:ext cx="414655" cy="698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2023-3390</w:t>
                          </w:r>
                        </w:p>
                      </w:txbxContent>
                    </wps:txbx>
                    <wps:bodyPr wrap="none" lIns="0" tIns="0" rIns="0" bIns="0">
                      <a:spAutoFit/>
                    </wps:bodyPr>
                  </wps:wsp>
                </a:graphicData>
              </a:graphic>
            </wp:anchor>
          </w:drawing>
        </mc:Choice>
        <mc:Fallback>
          <w:pict>
            <v:shape id="_x0000_s1035" type="#_x0000_t202" style="position:absolute;margin-left:43.149999999999999pt;margin-top:519.60000000000002pt;width:32.649999999999999pt;height:5.5pt;z-index:-18874405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2023-3390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12"/>
      <w:szCs w:val="12"/>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sz w:val="15"/>
      <w:szCs w:val="15"/>
      <w:u w:val="none"/>
    </w:rPr>
  </w:style>
  <w:style w:type="character" w:customStyle="1" w:styleId="CharStyle10">
    <w:name w:val="Заголовок №2_"/>
    <w:basedOn w:val="DefaultParagraphFont"/>
    <w:link w:val="Style9"/>
    <w:rPr>
      <w:rFonts w:ascii="Times New Roman" w:eastAsia="Times New Roman" w:hAnsi="Times New Roman" w:cs="Times New Roman"/>
      <w:b/>
      <w:bCs/>
      <w:i w:val="0"/>
      <w:iCs w:val="0"/>
      <w:smallCaps w:val="0"/>
      <w:strike w:val="0"/>
      <w:sz w:val="15"/>
      <w:szCs w:val="15"/>
      <w:u w:val="none"/>
    </w:rPr>
  </w:style>
  <w:style w:type="character" w:customStyle="1" w:styleId="CharStyle12">
    <w:name w:val="Заголовок №1_"/>
    <w:basedOn w:val="DefaultParagraphFont"/>
    <w:link w:val="Style11"/>
    <w:rPr>
      <w:rFonts w:ascii="Arial" w:eastAsia="Arial" w:hAnsi="Arial" w:cs="Arial"/>
      <w:b w:val="0"/>
      <w:bCs w:val="0"/>
      <w:i w:val="0"/>
      <w:iCs w:val="0"/>
      <w:smallCaps w:val="0"/>
      <w:strike w:val="0"/>
      <w:sz w:val="36"/>
      <w:szCs w:val="36"/>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Основной текст (3)_"/>
    <w:basedOn w:val="DefaultParagraphFont"/>
    <w:link w:val="Style18"/>
    <w:rPr>
      <w:rFonts w:ascii="Times New Roman" w:eastAsia="Times New Roman" w:hAnsi="Times New Roman" w:cs="Times New Roman"/>
      <w:b/>
      <w:bCs/>
      <w:i/>
      <w:iCs/>
      <w:smallCaps w:val="0"/>
      <w:strike w:val="0"/>
      <w:sz w:val="9"/>
      <w:szCs w:val="9"/>
      <w:u w:val="none"/>
    </w:rPr>
  </w:style>
  <w:style w:type="paragraph" w:customStyle="1" w:styleId="Style2">
    <w:name w:val="Основной текст (2)"/>
    <w:basedOn w:val="Normal"/>
    <w:link w:val="CharStyle3"/>
    <w:pPr>
      <w:widowControl w:val="0"/>
      <w:shd w:val="clear" w:color="auto" w:fill="auto"/>
      <w:spacing w:line="254" w:lineRule="auto"/>
      <w:ind w:firstLine="80"/>
    </w:pPr>
    <w:rPr>
      <w:rFonts w:ascii="Times New Roman" w:eastAsia="Times New Roman" w:hAnsi="Times New Roman" w:cs="Times New Roman"/>
      <w:b w:val="0"/>
      <w:bCs w:val="0"/>
      <w:i w:val="0"/>
      <w:iCs w:val="0"/>
      <w:smallCaps w:val="0"/>
      <w:strike w:val="0"/>
      <w:sz w:val="12"/>
      <w:szCs w:val="12"/>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15"/>
      <w:szCs w:val="15"/>
      <w:u w:val="none"/>
    </w:rPr>
  </w:style>
  <w:style w:type="paragraph" w:customStyle="1" w:styleId="Style9">
    <w:name w:val="Заголовок №2"/>
    <w:basedOn w:val="Normal"/>
    <w:link w:val="CharStyle10"/>
    <w:pPr>
      <w:widowControl w:val="0"/>
      <w:shd w:val="clear" w:color="auto" w:fill="auto"/>
      <w:outlineLvl w:val="1"/>
    </w:pPr>
    <w:rPr>
      <w:rFonts w:ascii="Times New Roman" w:eastAsia="Times New Roman" w:hAnsi="Times New Roman" w:cs="Times New Roman"/>
      <w:b/>
      <w:bCs/>
      <w:i w:val="0"/>
      <w:iCs w:val="0"/>
      <w:smallCaps w:val="0"/>
      <w:strike w:val="0"/>
      <w:sz w:val="15"/>
      <w:szCs w:val="15"/>
      <w:u w:val="none"/>
    </w:rPr>
  </w:style>
  <w:style w:type="paragraph" w:customStyle="1" w:styleId="Style11">
    <w:name w:val="Заголовок №1"/>
    <w:basedOn w:val="Normal"/>
    <w:link w:val="CharStyle12"/>
    <w:pPr>
      <w:widowControl w:val="0"/>
      <w:shd w:val="clear" w:color="auto" w:fill="auto"/>
      <w:outlineLvl w:val="0"/>
    </w:pPr>
    <w:rPr>
      <w:rFonts w:ascii="Arial" w:eastAsia="Arial" w:hAnsi="Arial" w:cs="Arial"/>
      <w:b w:val="0"/>
      <w:bCs w:val="0"/>
      <w:i w:val="0"/>
      <w:iCs w:val="0"/>
      <w:smallCaps w:val="0"/>
      <w:strike w:val="0"/>
      <w:sz w:val="36"/>
      <w:szCs w:val="36"/>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Основной текст (3)"/>
    <w:basedOn w:val="Normal"/>
    <w:link w:val="CharStyle19"/>
    <w:pPr>
      <w:widowControl w:val="0"/>
      <w:shd w:val="clear" w:color="auto" w:fill="auto"/>
    </w:pPr>
    <w:rPr>
      <w:rFonts w:ascii="Times New Roman" w:eastAsia="Times New Roman" w:hAnsi="Times New Roman" w:cs="Times New Roman"/>
      <w:b/>
      <w:bCs/>
      <w:i/>
      <w:iCs/>
      <w:smallCaps w:val="0"/>
      <w:strike w:val="0"/>
      <w:sz w:val="9"/>
      <w:szCs w:val="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image" Target="media/image2.png"/><Relationship Id="rId12" Type="http://schemas.openxmlformats.org/officeDocument/2006/relationships/image" Target="media/image2.png" TargetMode="External"/></Relationships>
</file>