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1784985</wp:posOffset>
            </wp:positionH>
            <wp:positionV relativeFrom="margin">
              <wp:posOffset>0</wp:posOffset>
            </wp:positionV>
            <wp:extent cx="511810"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p>
    <w:p>
      <w:pPr>
        <w:widowControl w:val="0"/>
        <w:spacing w:after="594" w:line="1" w:lineRule="exact"/>
      </w:pPr>
    </w:p>
    <w:p>
      <w:pPr>
        <w:widowControl w:val="0"/>
        <w:spacing w:line="1" w:lineRule="exact"/>
        <w:sectPr>
          <w:footnotePr>
            <w:pos w:val="pageBottom"/>
            <w:numFmt w:val="decimal"/>
            <w:numRestart w:val="continuous"/>
          </w:footnotePr>
          <w:pgSz w:w="11900" w:h="16840"/>
          <w:pgMar w:top="298" w:right="1097" w:bottom="1005" w:left="1107" w:header="0" w:footer="577" w:gutter="0"/>
          <w:pgNumType w:start="1"/>
          <w:cols w:space="720"/>
          <w:noEndnote/>
          <w:rtlGutter w:val="0"/>
          <w:docGrid w:linePitch="360"/>
        </w:sectPr>
      </w:pPr>
    </w:p>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На№  от</w:t>
      </w:r>
    </w:p>
    <w:p>
      <w:pPr>
        <w:pStyle w:val="Style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ГБУ г. Москвы «Жилищник района Раменки»</w:t>
      </w:r>
    </w:p>
    <w:p>
      <w:pPr>
        <w:pStyle w:val="Style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хакиркнат@дтай.сот</w:t>
      </w:r>
    </w:p>
    <w:p>
      <w:pPr>
        <w:pStyle w:val="Style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ГКУ «Дирекция ЖКХИБ ЗАО»</w:t>
      </w:r>
    </w:p>
    <w:p>
      <w:pPr>
        <w:pStyle w:val="Style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Шгексйу-хао@рхао.то8.ги</w:t>
      </w:r>
    </w:p>
    <w:p>
      <w:pPr>
        <w:pStyle w:val="Style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ИП Хан Г.Г.</w:t>
      </w:r>
    </w:p>
    <w:p>
      <w:pPr>
        <w:pStyle w:val="Style6"/>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98" w:right="1783" w:bottom="1005" w:left="1140" w:header="0" w:footer="3" w:gutter="0"/>
          <w:cols w:num="2" w:space="413"/>
          <w:noEndnote/>
          <w:rtlGutter w:val="0"/>
          <w:docGrid w:linePitch="360"/>
        </w:sectPr>
      </w:pPr>
      <w:r>
        <w:rPr>
          <w:color w:val="000000"/>
          <w:spacing w:val="0"/>
          <w:w w:val="100"/>
          <w:position w:val="0"/>
          <w:shd w:val="clear" w:color="auto" w:fill="auto"/>
          <w:lang w:val="ru-RU" w:eastAsia="ru-RU" w:bidi="ru-RU"/>
        </w:rPr>
        <w:t>КЪап1966@тай.ги</w:t>
      </w:r>
    </w:p>
    <w:p>
      <w:pPr>
        <w:widowControl w:val="0"/>
        <w:spacing w:before="33" w:after="3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05" w:right="0" w:bottom="886" w:left="0" w:header="0" w:footer="3" w:gutter="0"/>
          <w:cols w:space="720"/>
          <w:noEndnote/>
          <w:rtlGutter w:val="0"/>
          <w:docGrid w:linePitch="360"/>
        </w:sectPr>
      </w:pPr>
    </w:p>
    <w:p>
      <w:pPr>
        <w:pStyle w:val="Style8"/>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077/06/106-26921-ЭП/23/2023 о нарушении</w:t>
        <w:br/>
        <w:t>законодательства о контрактной системе</w:t>
      </w:r>
    </w:p>
    <w:p>
      <w:pPr>
        <w:pStyle w:val="Style6"/>
        <w:keepNext w:val="0"/>
        <w:keepLines w:val="0"/>
        <w:widowControl w:val="0"/>
        <w:shd w:val="clear" w:color="auto" w:fill="auto"/>
        <w:tabs>
          <w:tab w:pos="8395" w:val="left"/>
        </w:tabs>
        <w:bidi w:val="0"/>
        <w:spacing w:before="0" w:after="0" w:line="240" w:lineRule="auto"/>
        <w:ind w:left="0" w:right="0" w:firstLine="0"/>
        <w:jc w:val="both"/>
      </w:pPr>
      <w:r>
        <w:rPr>
          <w:b/>
          <w:bCs/>
          <w:color w:val="000000"/>
          <w:spacing w:val="0"/>
          <w:w w:val="100"/>
          <w:position w:val="0"/>
          <w:shd w:val="clear" w:color="auto" w:fill="auto"/>
          <w:lang w:val="ru-RU" w:eastAsia="ru-RU" w:bidi="ru-RU"/>
        </w:rPr>
        <w:t>02.05.2023</w:t>
        <w:tab/>
        <w:t>г. Москва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А.А. Матюшенко,</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 1 разряда отдела обжалования государственных закупок И.И. Фурсикова,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2019-пСоУ,</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ГБУ г. Москвы «Жилищник района Раменки»: А.С. Григорьева (по доверенности № б/н от 28.04.2023),</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отсутствие представителей ГКУ «Дирекция ЖКХИБ ЗАО» и ИП Хан Г.Г., о времени и порядке заседания Комиссии уведомленных письмом Московского УФАС России,</w:t>
      </w:r>
    </w:p>
    <w:p>
      <w:pPr>
        <w:pStyle w:val="Style6"/>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 xml:space="preserve">рассмотрев жалобу ИП Хан Г.Г. (далее — Заявитель) на действия ГБУ г. Москвы «Жилищник района Раменки» (далее — Заказчик) при проведении электронного аукциона на право заключения государственного контракта на поставку товаров для работы с техническими газами (Закупка № 0373200014223000360) (далее - аукцион), в соответствии с Федеральным законом от 05.04.2013 №44-ФЗ «О контрактной системе в сфере закупок </w:t>
      </w:r>
      <w:r>
        <w:rPr>
          <w:color w:val="000000"/>
          <w:spacing w:val="0"/>
          <w:w w:val="100"/>
          <w:position w:val="0"/>
          <w:shd w:val="clear" w:color="auto" w:fill="auto"/>
          <w:lang w:val="ru-RU" w:eastAsia="ru-RU" w:bidi="ru-RU"/>
        </w:rPr>
        <w:t>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Московское УФАС России поступила жалоба Заявителя на действия Заказчика при проведении вышеуказанного электронного аукциона.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обжалует действия комиссии по осуществлению закупок Заказчика (далее—комиссия Заказчика), выразившиеся в отклонении заявки Заявителя.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письмом Московского УФАС России,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24.04.2023 №ИЭА1 заявка Заявителя (идентификационный номер заявки 2) отклонена на следующем основании:</w:t>
      </w:r>
    </w:p>
    <w:p>
      <w:pPr>
        <w:pStyle w:val="Style6"/>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«Непредставление информации и документов, предусмотренных извещением (за исключением п. 2, 3 ч. 6 ст. 43 Закона № 44 ФЗ), несоответствие такой информации и документов требованиям, а именно:</w:t>
      </w:r>
    </w:p>
    <w:p>
      <w:pPr>
        <w:pStyle w:val="Style6"/>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Заказчиком в технической части аукционной документации установлено требование к товару, который необходим к поставке, в частности</w:t>
      </w:r>
    </w:p>
    <w:p>
      <w:pPr>
        <w:pStyle w:val="Style6"/>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Горелка ацетиленовая 6/6мм</w:t>
      </w:r>
    </w:p>
    <w:p>
      <w:pPr>
        <w:pStyle w:val="Style6"/>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В составе заявки участник закупки выразил согласие на поставку товара на условиях, предусмотренных документацией об аукционе, а также представил следующие сведения о поставляемом товаре</w:t>
      </w:r>
    </w:p>
    <w:p>
      <w:pPr>
        <w:pStyle w:val="Style6"/>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Горелка ацетиленовая 9/9мм</w:t>
      </w:r>
    </w:p>
    <w:p>
      <w:pPr>
        <w:pStyle w:val="Style6"/>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На основании п.1 ч.12 ст.48 Федерального закона №44-ФЗ заявка признана не соответствующей требованиям, установленным документацией об аукционе»</w:t>
      </w:r>
      <w:r>
        <w:rPr>
          <w:color w:val="000000"/>
          <w:spacing w:val="0"/>
          <w:w w:val="100"/>
          <w:position w:val="0"/>
          <w:shd w:val="clear" w:color="auto" w:fill="auto"/>
          <w:lang w:val="ru-RU" w:eastAsia="ru-RU" w:bidi="ru-RU"/>
        </w:rPr>
        <w:t>.</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п.1, п.3 ч.2 ст.42 Закона о контрактной системе, извещение об осуществлении закупки должно содержать электронные документы с описанием объекта закупки в соответствии со ст.33 Закона о контрактной системе, а также с требованиями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w:t>
      </w:r>
      <w:r>
        <w:rPr>
          <w:color w:val="000000"/>
          <w:spacing w:val="0"/>
          <w:w w:val="100"/>
          <w:position w:val="0"/>
          <w:shd w:val="clear" w:color="auto" w:fill="auto"/>
          <w:lang w:val="ru-RU" w:eastAsia="ru-RU" w:bidi="ru-RU"/>
        </w:rPr>
        <w:t>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Комиссией Управления установлено, что Заказчиком в Техническом задании установлено в том числе следующее требование к закупаемым товарам, в частности по п.1: «Горелка ацетиленовая ГЗ-05, </w:t>
      </w:r>
      <w:r>
        <w:rPr>
          <w:b/>
          <w:bCs/>
          <w:color w:val="000000"/>
          <w:spacing w:val="0"/>
          <w:w w:val="100"/>
          <w:position w:val="0"/>
          <w:u w:val="single"/>
          <w:shd w:val="clear" w:color="auto" w:fill="auto"/>
          <w:lang w:val="ru-RU" w:eastAsia="ru-RU" w:bidi="ru-RU"/>
        </w:rPr>
        <w:t>6/6мм</w:t>
      </w:r>
      <w:r>
        <w:rPr>
          <w:color w:val="000000"/>
          <w:spacing w:val="0"/>
          <w:w w:val="100"/>
          <w:position w:val="0"/>
          <w:shd w:val="clear" w:color="auto" w:fill="auto"/>
          <w:lang w:val="ru-RU" w:eastAsia="ru-RU" w:bidi="ru-RU"/>
        </w:rPr>
        <w:t>: Входное соединение: М16Х1,5: 2 шт».</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 2 ч. 1 ст.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6"/>
        <w:keepNext w:val="0"/>
        <w:keepLines w:val="0"/>
        <w:widowControl w:val="0"/>
        <w:numPr>
          <w:ilvl w:val="0"/>
          <w:numId w:val="1"/>
        </w:numPr>
        <w:shd w:val="clear" w:color="auto" w:fill="auto"/>
        <w:tabs>
          <w:tab w:pos="109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положений ч. 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6"/>
        <w:keepNext w:val="0"/>
        <w:keepLines w:val="0"/>
        <w:widowControl w:val="0"/>
        <w:numPr>
          <w:ilvl w:val="0"/>
          <w:numId w:val="1"/>
        </w:numPr>
        <w:shd w:val="clear" w:color="auto" w:fill="auto"/>
        <w:tabs>
          <w:tab w:pos="109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6"/>
        <w:keepNext w:val="0"/>
        <w:keepLines w:val="0"/>
        <w:widowControl w:val="0"/>
        <w:numPr>
          <w:ilvl w:val="0"/>
          <w:numId w:val="1"/>
        </w:numPr>
        <w:shd w:val="clear" w:color="auto" w:fill="auto"/>
        <w:tabs>
          <w:tab w:pos="109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6"/>
        <w:keepNext w:val="0"/>
        <w:keepLines w:val="0"/>
        <w:widowControl w:val="0"/>
        <w:numPr>
          <w:ilvl w:val="0"/>
          <w:numId w:val="1"/>
        </w:numPr>
        <w:shd w:val="clear" w:color="auto" w:fill="auto"/>
        <w:tabs>
          <w:tab w:pos="109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положений ч. 2 ст. 43 Закона о контрактной системе предложение по критериям, предусмотренным п. 2 и (или) 3 ч. 1 ст. 32 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6"/>
        <w:keepNext w:val="0"/>
        <w:keepLines w:val="0"/>
        <w:widowControl w:val="0"/>
        <w:numPr>
          <w:ilvl w:val="0"/>
          <w:numId w:val="1"/>
        </w:numPr>
        <w:shd w:val="clear" w:color="auto" w:fill="auto"/>
        <w:tabs>
          <w:tab w:pos="109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Комиссией Управления установлено, что в составе заявки Заявитель представил сведения к закупаемым товарам, в частности по п.1 «Горелка ацетиленовая ГЗ-05, </w:t>
      </w:r>
      <w:r>
        <w:rPr>
          <w:b/>
          <w:bCs/>
          <w:color w:val="000000"/>
          <w:spacing w:val="0"/>
          <w:w w:val="100"/>
          <w:position w:val="0"/>
          <w:u w:val="single"/>
          <w:shd w:val="clear" w:color="auto" w:fill="auto"/>
          <w:lang w:val="ru-RU" w:eastAsia="ru-RU" w:bidi="ru-RU"/>
        </w:rPr>
        <w:t>9/9мм</w:t>
      </w:r>
      <w:r>
        <w:rPr>
          <w:color w:val="000000"/>
          <w:spacing w:val="0"/>
          <w:w w:val="100"/>
          <w:position w:val="0"/>
          <w:shd w:val="clear" w:color="auto" w:fill="auto"/>
          <w:lang w:val="ru-RU" w:eastAsia="ru-RU" w:bidi="ru-RU"/>
        </w:rPr>
        <w:t>: Входное соединение: М16Х1,5: 2 шт», что противоречит Техническому заданию, а также Извещению об осуществлении закупки.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обоснование своих доводов Заявитель указывает на то, что Техническое задание сформировано в нарушение положений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указанный довод не может быть рассмотрен Комиссией Управления при рассмотрении жалобы на действия комиссии по осуществлению закупок Заказчика, так как обжалование положений извещения об осуществлении закупки возможно согласно ст.105 Закона о контрактной системе до окончания срока подачи заявок на участие в электронном аукционе, а не на этапе их рассмотрения.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этим на заседании Комиссии Управления установлено, что положения Технического задания в настоящем случае Заявителем не оспаривались. В свою очередь, подав заявку на участие в закупочной процедуре, Заявитель конклюдентно согласился со всеми условиями извещения об осуществлении закупки и, как следствие, принял на себя все риски предполагаемого им соответствия предлагаемого товара.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 1-8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3"/>
        </w:numPr>
        <w:shd w:val="clear" w:color="auto" w:fill="auto"/>
        <w:tabs>
          <w:tab w:pos="118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3"/>
        </w:numPr>
        <w:shd w:val="clear" w:color="auto" w:fill="auto"/>
        <w:tabs>
          <w:tab w:pos="118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3"/>
        </w:numPr>
        <w:shd w:val="clear" w:color="auto" w:fill="auto"/>
        <w:tabs>
          <w:tab w:pos="118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6"/>
        <w:keepNext w:val="0"/>
        <w:keepLines w:val="0"/>
        <w:widowControl w:val="0"/>
        <w:numPr>
          <w:ilvl w:val="0"/>
          <w:numId w:val="3"/>
        </w:numPr>
        <w:shd w:val="clear" w:color="auto" w:fill="auto"/>
        <w:tabs>
          <w:tab w:pos="1186"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6"/>
        <w:keepNext w:val="0"/>
        <w:keepLines w:val="0"/>
        <w:widowControl w:val="0"/>
        <w:numPr>
          <w:ilvl w:val="0"/>
          <w:numId w:val="3"/>
        </w:numPr>
        <w:shd w:val="clear" w:color="auto" w:fill="auto"/>
        <w:tabs>
          <w:tab w:pos="1186"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6"/>
        <w:keepNext w:val="0"/>
        <w:keepLines w:val="0"/>
        <w:widowControl w:val="0"/>
        <w:numPr>
          <w:ilvl w:val="0"/>
          <w:numId w:val="3"/>
        </w:numPr>
        <w:shd w:val="clear" w:color="auto" w:fill="auto"/>
        <w:tabs>
          <w:tab w:pos="1186"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3"/>
        </w:numPr>
        <w:shd w:val="clear" w:color="auto" w:fill="auto"/>
        <w:tabs>
          <w:tab w:pos="1806" w:val="left"/>
        </w:tabs>
        <w:bidi w:val="0"/>
        <w:spacing w:before="0" w:after="0" w:line="240" w:lineRule="auto"/>
        <w:ind w:left="0" w:right="0" w:firstLine="62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6"/>
        <w:keepNext w:val="0"/>
        <w:keepLines w:val="0"/>
        <w:widowControl w:val="0"/>
        <w:numPr>
          <w:ilvl w:val="0"/>
          <w:numId w:val="3"/>
        </w:numPr>
        <w:shd w:val="clear" w:color="auto" w:fill="auto"/>
        <w:tabs>
          <w:tab w:pos="1186"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Таким образом, Комиссия Управления приходит к выводу о том, что решение комиссии Заказчика о признании заявки Заявителя несоответствующей по основанию, отраженному в протоколе подведения итогов определения поставщика (подрядчика, исполнителя), является правомерным и не противоречит требованиям Закона о контрактной системе.</w:t>
      </w:r>
    </w:p>
    <w:p>
      <w:pPr>
        <w:pStyle w:val="Style6"/>
        <w:keepNext w:val="0"/>
        <w:keepLines w:val="0"/>
        <w:widowControl w:val="0"/>
        <w:shd w:val="clear" w:color="auto" w:fill="auto"/>
        <w:bidi w:val="0"/>
        <w:spacing w:before="0" w:after="280" w:line="240" w:lineRule="auto"/>
        <w:ind w:left="0" w:right="0" w:firstLine="68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numPr>
          <w:ilvl w:val="0"/>
          <w:numId w:val="5"/>
        </w:numPr>
        <w:shd w:val="clear" w:color="auto" w:fill="auto"/>
        <w:tabs>
          <w:tab w:pos="906"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.Признать жалобу ИП Хан Г.Г. на действия ГБУ г. Москвы «Жилищник района Раменки» необоснованной.</w:t>
      </w:r>
    </w:p>
    <w:p>
      <w:pPr>
        <w:pStyle w:val="Style6"/>
        <w:keepNext w:val="0"/>
        <w:keepLines w:val="0"/>
        <w:widowControl w:val="0"/>
        <w:numPr>
          <w:ilvl w:val="0"/>
          <w:numId w:val="5"/>
        </w:numPr>
        <w:shd w:val="clear" w:color="auto" w:fill="auto"/>
        <w:tabs>
          <w:tab w:pos="920" w:val="left"/>
        </w:tabs>
        <w:bidi w:val="0"/>
        <w:spacing w:before="0" w:after="0" w:line="240" w:lineRule="auto"/>
        <w:ind w:left="0" w:right="0" w:firstLine="680"/>
        <w:jc w:val="both"/>
      </w:pPr>
      <w:r>
        <w:rPr>
          <w:color w:val="000000"/>
          <w:spacing w:val="0"/>
          <w:w w:val="100"/>
          <w:position w:val="0"/>
          <w:shd w:val="clear" w:color="auto" w:fill="auto"/>
          <w:lang w:val="ru-RU" w:eastAsia="ru-RU" w:bidi="ru-RU"/>
        </w:rPr>
        <w:t>. Снять ограничения на определение поставщика (подрядчика, исполнителя), наложенные письмом Московского УФАС России.</w:t>
      </w:r>
    </w:p>
    <w:p>
      <w:pPr>
        <w:pStyle w:val="Style6"/>
        <w:keepNext w:val="0"/>
        <w:keepLines w:val="0"/>
        <w:widowControl w:val="0"/>
        <w:shd w:val="clear" w:color="auto" w:fill="auto"/>
        <w:bidi w:val="0"/>
        <w:spacing w:before="0" w:after="100" w:line="240" w:lineRule="auto"/>
        <w:ind w:left="0" w:right="0" w:firstLine="68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6"/>
        <w:keepNext w:val="0"/>
        <w:keepLines w:val="0"/>
        <w:widowControl w:val="0"/>
        <w:shd w:val="clear" w:color="auto" w:fill="auto"/>
        <w:tabs>
          <w:tab w:pos="7834" w:val="left"/>
        </w:tabs>
        <w:bidi w:val="0"/>
        <w:spacing w:before="0" w:after="280" w:line="240" w:lineRule="auto"/>
        <w:ind w:left="0" w:right="0" w:firstLine="0"/>
        <w:jc w:val="both"/>
      </w:pPr>
      <w:r>
        <w:rPr>
          <w:color w:val="000000"/>
          <w:spacing w:val="0"/>
          <w:w w:val="100"/>
          <w:position w:val="0"/>
          <w:shd w:val="clear" w:color="auto" w:fill="auto"/>
          <w:lang w:val="ru-RU" w:eastAsia="ru-RU" w:bidi="ru-RU"/>
        </w:rPr>
        <w:t>Председательствующий</w:t>
        <w:tab/>
        <w:t>Е.А.Миронова</w:t>
      </w:r>
    </w:p>
    <w:p>
      <w:pPr>
        <w:pStyle w:val="Style6"/>
        <w:keepNext w:val="0"/>
        <w:keepLines w:val="0"/>
        <w:widowControl w:val="0"/>
        <w:shd w:val="clear" w:color="auto" w:fill="auto"/>
        <w:tabs>
          <w:tab w:pos="7478" w:val="left"/>
        </w:tabs>
        <w:bidi w:val="0"/>
        <w:spacing w:before="0" w:after="280" w:line="240" w:lineRule="auto"/>
        <w:ind w:left="0" w:right="0" w:firstLine="0"/>
        <w:jc w:val="both"/>
      </w:pPr>
      <w:r>
        <w:rPr>
          <w:color w:val="000000"/>
          <w:spacing w:val="0"/>
          <w:w w:val="100"/>
          <w:position w:val="0"/>
          <w:shd w:val="clear" w:color="auto" w:fill="auto"/>
          <w:lang w:val="ru-RU" w:eastAsia="ru-RU" w:bidi="ru-RU"/>
        </w:rPr>
        <w:t>Члены Комиссии</w:t>
        <w:tab/>
        <w:t>А.А.Матюшенко</w:t>
      </w:r>
    </w:p>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И.И.Фурсиков</w:t>
      </w:r>
    </w:p>
    <w:p>
      <w:pPr>
        <w:pStyle w:val="Style2"/>
        <w:keepNext w:val="0"/>
        <w:keepLines w:val="0"/>
        <w:widowControl w:val="0"/>
        <w:shd w:val="clear" w:color="auto" w:fill="auto"/>
        <w:bidi w:val="0"/>
        <w:spacing w:before="0" w:after="28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Исп.Фурсиков И.И. тел.(495) 784-75-05</w:t>
      </w:r>
    </w:p>
    <w:sectPr>
      <w:footnotePr>
        <w:pos w:val="pageBottom"/>
        <w:numFmt w:val="decimal"/>
        <w:numRestart w:val="continuous"/>
      </w:footnotePr>
      <w:type w:val="continuous"/>
      <w:pgSz w:w="11900" w:h="16840"/>
      <w:pgMar w:top="1105" w:right="1105" w:bottom="886" w:left="1099" w:header="0" w:footer="458"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25FA6"/>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Заголовок №1_"/>
    <w:basedOn w:val="DefaultParagraphFont"/>
    <w:link w:val="Style8"/>
    <w:rPr>
      <w:rFonts w:ascii="Times New Roman" w:eastAsia="Times New Roman" w:hAnsi="Times New Roman" w:cs="Times New Roman"/>
      <w:b/>
      <w:bCs/>
      <w:i w:val="0"/>
      <w:iCs w:val="0"/>
      <w:smallCaps w:val="0"/>
      <w:strike w:val="0"/>
      <w:sz w:val="28"/>
      <w:szCs w:val="28"/>
      <w:u w:val="none"/>
    </w:rPr>
  </w:style>
  <w:style w:type="paragraph" w:customStyle="1" w:styleId="Style2">
    <w:name w:val="Основной текст (2)"/>
    <w:basedOn w:val="Normal"/>
    <w:link w:val="CharStyle3"/>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25FA6"/>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Заголовок №1"/>
    <w:basedOn w:val="Normal"/>
    <w:link w:val="CharStyle9"/>
    <w:pPr>
      <w:widowControl w:val="0"/>
      <w:shd w:val="clear" w:color="auto" w:fill="auto"/>
      <w:jc w:val="center"/>
      <w:outlineLvl w:val="0"/>
    </w:pPr>
    <w:rPr>
      <w:rFonts w:ascii="Times New Roman" w:eastAsia="Times New Roman" w:hAnsi="Times New Roman" w:cs="Times New Roman"/>
      <w:b/>
      <w:bCs/>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s>
</file>