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header1.xml" ContentType="application/vnd.openxmlformats-officedocument.wordprocessingml.header+xml"/>
  <Override PartName="/word/header2.xml" ContentType="application/vnd.openxmlformats-officedocument.wordprocessingml.head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widowControl w:val="0"/>
        <w:spacing w:line="1" w:lineRule="exact"/>
      </w:pPr>
      <w:r>
        <w:drawing>
          <wp:anchor distT="0" distB="2164080" distL="1174750" distR="1120775" simplePos="0" relativeHeight="125829378" behindDoc="0" locked="0" layoutInCell="1" allowOverlap="1">
            <wp:simplePos x="0" y="0"/>
            <wp:positionH relativeFrom="page">
              <wp:posOffset>1781810</wp:posOffset>
            </wp:positionH>
            <wp:positionV relativeFrom="paragraph">
              <wp:posOffset>12700</wp:posOffset>
            </wp:positionV>
            <wp:extent cx="511810" cy="609600"/>
            <wp:wrapSquare wrapText="right"/>
            <wp:docPr id="1" name="Shap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box 2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511810" cy="60960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609600" distB="1331595" distL="236220" distR="175260" simplePos="0" relativeHeight="125829379" behindDoc="0" locked="0" layoutInCell="1" allowOverlap="1">
                <wp:simplePos x="0" y="0"/>
                <wp:positionH relativeFrom="page">
                  <wp:posOffset>843280</wp:posOffset>
                </wp:positionH>
                <wp:positionV relativeFrom="paragraph">
                  <wp:posOffset>622300</wp:posOffset>
                </wp:positionV>
                <wp:extent cx="2395855" cy="829310"/>
                <wp:wrapSquare wrapText="right"/>
                <wp:docPr id="3" name="Shape 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395855" cy="82931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line="259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ФЕДЕРАЛЬНАЯ</w:t>
                              <w:br/>
                              <w:t>АНТИМОНОПОЛЬНАЯ СЛУЖБА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УПРАВЛЕНИЕ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по г. Москве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1029" type="#_x0000_t202" style="position:absolute;margin-left:66.400000000000006pt;margin-top:49.pt;width:188.65000000000001pt;height:65.299999999999997pt;z-index:-125829374;mso-wrap-distance-left:18.600000000000001pt;mso-wrap-distance-top:48.pt;mso-wrap-distance-right:13.800000000000001pt;mso-wrap-distance-bottom:104.85000000000001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line="259" w:lineRule="auto"/>
                        <w:ind w:left="0" w:right="0" w:firstLine="0"/>
                        <w:jc w:val="center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ФЕДЕРАЛЬНАЯ</w:t>
                        <w:br/>
                        <w:t>АНТИМОНОПОЛЬНАЯ СЛУЖБА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line="240" w:lineRule="auto"/>
                        <w:ind w:left="0" w:right="0" w:firstLine="0"/>
                        <w:jc w:val="center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УПРАВЛЕНИЕ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line="240" w:lineRule="auto"/>
                        <w:ind w:left="0" w:right="0" w:firstLine="0"/>
                        <w:jc w:val="center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по г. Москве</w:t>
                      </w:r>
                    </w:p>
                  </w:txbxContent>
                </v:textbox>
                <w10:wrap type="square" side="right" anchorx="page"/>
              </v:shape>
            </w:pict>
          </mc:Fallback>
        </mc:AlternateContent>
      </w:r>
      <w:r>
        <w:drawing>
          <wp:anchor distT="2261870" distB="295910" distL="175260" distR="123190" simplePos="0" relativeHeight="125829381" behindDoc="0" locked="0" layoutInCell="1" allowOverlap="1">
            <wp:simplePos x="0" y="0"/>
            <wp:positionH relativeFrom="page">
              <wp:posOffset>782320</wp:posOffset>
            </wp:positionH>
            <wp:positionV relativeFrom="paragraph">
              <wp:posOffset>2274570</wp:posOffset>
            </wp:positionV>
            <wp:extent cx="2511425" cy="213360"/>
            <wp:wrapSquare wrapText="right"/>
            <wp:docPr id="5" name="Shap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box 6"/>
                    <pic:cNvPicPr/>
                  </pic:nvPicPr>
                  <pic:blipFill>
                    <a:blip r:embed="rId7"/>
                    <a:stretch/>
                  </pic:blipFill>
                  <pic:spPr>
                    <a:xfrm>
                      <a:ext cx="2511425" cy="21336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2" behindDoc="0" locked="0" layoutInCell="1" allowOverlap="1">
                <wp:simplePos x="0" y="0"/>
                <wp:positionH relativeFrom="page">
                  <wp:posOffset>843280</wp:posOffset>
                </wp:positionH>
                <wp:positionV relativeFrom="paragraph">
                  <wp:posOffset>1628140</wp:posOffset>
                </wp:positionV>
                <wp:extent cx="2395855" cy="545465"/>
                <wp:wrapNone/>
                <wp:docPr id="7" name="Shape 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395855" cy="54546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Мясницкий проезд, д.4, стр. 1 107078, г. Москва, тел. (495) 784-75-05, факс (495) 607-49-29 факс (495) 607-42-92,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u w:val="single"/>
                                <w:shd w:val="clear" w:color="auto" w:fill="auto"/>
                                <w:lang w:val="ru-RU" w:eastAsia="ru-RU" w:bidi="ru-RU"/>
                              </w:rPr>
                              <w:t>е-тай: 1о77@Га8.еоу.п1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3" type="#_x0000_t202" style="position:absolute;margin-left:66.400000000000006pt;margin-top:128.19999999999999pt;width:188.65000000000001pt;height:42.950000000000003pt;z-index:251657729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center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Мясницкий проезд, д.4, стр. 1 107078, г. Москва, тел. (495) 784-75-05, факс (495) 607-49-29 факс (495) 607-42-92, </w:t>
                      </w:r>
                      <w:r>
                        <w:rPr>
                          <w:spacing w:val="0"/>
                          <w:w w:val="100"/>
                          <w:position w:val="0"/>
                          <w:u w:val="single"/>
                          <w:shd w:val="clear" w:color="auto" w:fill="auto"/>
                          <w:lang w:val="ru-RU" w:eastAsia="ru-RU" w:bidi="ru-RU"/>
                        </w:rPr>
                        <w:t>е-тай: 1о77@Га8.еоу.п1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84" behindDoc="0" locked="0" layoutInCell="1" allowOverlap="1">
                <wp:simplePos x="0" y="0"/>
                <wp:positionH relativeFrom="page">
                  <wp:posOffset>721360</wp:posOffset>
                </wp:positionH>
                <wp:positionV relativeFrom="paragraph">
                  <wp:posOffset>2621915</wp:posOffset>
                </wp:positionV>
                <wp:extent cx="2578735" cy="161290"/>
                <wp:wrapNone/>
                <wp:docPr id="9" name="Shape 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578735" cy="1612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На№  от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5" type="#_x0000_t202" style="position:absolute;margin-left:56.800000000000004pt;margin-top:206.45000000000002pt;width:203.05000000000001pt;height:12.700000000000001pt;z-index:251657731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На№  от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200" w:line="211" w:lineRule="auto"/>
        <w:ind w:left="1040" w:right="0" w:firstLine="2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ФГБУ «НМИЦ ТИО ИМ. АК. В.И. ШУМАКОВА» МИНЗДРАВА РОССИИ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200" w:line="214" w:lineRule="auto"/>
        <w:ind w:left="104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1582244@тай.ги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200" w:line="214" w:lineRule="auto"/>
        <w:ind w:left="104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ООО «САВИР»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480" w:line="214" w:lineRule="auto"/>
        <w:ind w:left="104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8аV^^-74@та^1.^и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1240" w:line="214" w:lineRule="auto"/>
        <w:ind w:left="1040" w:right="0" w:firstLine="2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АО «Единая электронная торговая площадка» ко@го8екогд.ги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ПРЕДПИСАНИЕ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по делу № 077/06/106-АК7/2023 об устранении нарушений</w:t>
        <w:br/>
        <w:t>законодательства о контрактной системе</w:t>
      </w:r>
    </w:p>
    <w:p>
      <w:pPr>
        <w:pStyle w:val="Style7"/>
        <w:keepNext w:val="0"/>
        <w:keepLines w:val="0"/>
        <w:widowControl w:val="0"/>
        <w:shd w:val="clear" w:color="auto" w:fill="auto"/>
        <w:tabs>
          <w:tab w:pos="8880" w:val="left"/>
        </w:tabs>
        <w:bidi w:val="0"/>
        <w:spacing w:before="0" w:after="0" w:line="240" w:lineRule="auto"/>
        <w:ind w:left="0" w:right="0" w:firstLine="0"/>
        <w:jc w:val="both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02.05.2023</w:t>
        <w:tab/>
        <w:t>г. Москва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Комиссия по контролю в сфере закупок товаров, работ, услуг Управления Федеральной антимонопольной службы по г. Москве (далее - Комиссия Управления) в составе: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Председательствующего — главного государственного инспектора отдела обжалования государственных закупок С.И. Казарина,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Членов Комиссии: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Главного специалиста-эксперта отдела обжалования государственных закупок А.А. Кутейникова,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Специалиста-эксперта отдела обжалования государственных закупок М.О. Мацневой,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34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на основании решения Комиссии от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02.05.2023 по делу №077/06/106- АК7/2023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, по итогам рассмотрения жалобы ООО «Савир» (далее — Заявитель) на действия ФГБУ «НМИЦ ТИО ИМ. АК. В.И. ШУМАКОВА» МИНЗДРАВА РОССИИ (далее — Заказчик) при проведении электронного аукциона на право заключения государственного контракта на поставку средств дезинфицирующих для нужд ФГБУ «НМИЦ ТИО им. ак. В.И. Шумакова» Минздрава России (Закупка № 0373100091423000499) (далее - аукцион) в соответствии с Федеральным законом от 05.04.2013 №44-ФЗ «О контрактной системе в сфере закупок товаров, работ, услуг для обеспечения государственных и муниципальных нужд» (далее - Закон о контрактной системе),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ПРЕДПИСЫВАЕТ:</w:t>
      </w:r>
    </w:p>
    <w:p>
      <w:pPr>
        <w:pStyle w:val="Style7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59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Заказчику, Аукционной комиссии отменить протокол подведения итогов определения поставщика (подрядчика, исполнителя).</w:t>
      </w:r>
    </w:p>
    <w:p>
      <w:pPr>
        <w:pStyle w:val="Style7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93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Оператору электронной площадки не позднее 1 рабочего дня со дня исполнения пункта 1 настоящего предписания:</w:t>
      </w:r>
    </w:p>
    <w:p>
      <w:pPr>
        <w:pStyle w:val="Style7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987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отменить протокол подачи ценовых предложений;</w:t>
      </w:r>
    </w:p>
    <w:p>
      <w:pPr>
        <w:pStyle w:val="Style7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987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вернуть участникам закупки ранее поданные заявки на участие в Аукционе;</w:t>
      </w:r>
    </w:p>
    <w:p>
      <w:pPr>
        <w:pStyle w:val="Style7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987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уведомить участников закупки, подавших заявки на участие в Аукционе, в том числе Заявителя, об отмене протокола подведения итогов определения поставщика (подрядчика, исполнителя), протокола подачи ценовых предложений, о прекращении действия заявок, поданных на участие в Аукционе, и о возможности подать новые заявки на участие в Аукционе;</w:t>
      </w:r>
    </w:p>
    <w:p>
      <w:pPr>
        <w:pStyle w:val="Style7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982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прекратить блокирование операций по счетам для проведения операций по обеспечению участия в электронных аукционах, открытых участникам закупки, подавшим заявки на участие в Аукционе, в отношении денежных средств в размере обеспечения заявки на участие в Аукционе.</w:t>
      </w:r>
    </w:p>
    <w:p>
      <w:pPr>
        <w:pStyle w:val="Style7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762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Заказчику:</w:t>
      </w:r>
    </w:p>
    <w:p>
      <w:pPr>
        <w:pStyle w:val="Style7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987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привести Извещение о проведении электронного аукциона в соответствие с требованиями Закона о контрактной системе и с учетом решения от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02.05.2023 по делу № 077/06/106-АК7/2023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 разместить соответствующее извещение в единой информационной системе;</w:t>
      </w:r>
    </w:p>
    <w:p>
      <w:pPr>
        <w:pStyle w:val="Style7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982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назначить новую дату окончания срока подачи заявок на участие в Аукционе, дату подачи ценовых предложений, дату подведения итогов определения поставщика (подрядчика, исполнителя), а также разместить указанные сведения в единой информационной системе в сфере закупок. При этом дата окончания срока подачи заявок на участие в Аукционе должна быть назначена в соответствии с ч.3 ст.42 Закона о контрактной системе.</w:t>
      </w:r>
    </w:p>
    <w:p>
      <w:pPr>
        <w:pStyle w:val="Style7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93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Оператору электронной площадки не позднее 1 рабочего дня со дня исполнения пункта 3 настоящего предписания: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- назначить время подачи ценовых предложений и разместить на электронной площадке информацию о времени подачи ценовых предложений;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уведомить участников закупки, подавших заявки на участие в Аукционе, в том числе Заявителя, о новой дате окончания срока подачи заявок на участие в Аукционе, дате подачи ценовых предложений, дате подведения итогов определения поставщика (подрядчика, исполнителя), а также о возможности подать новые заявки на участие в Аукционе.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5.Заказчику, Аукционной комиссии, Оператору электронной площадки осуществить дальнейшее проведение процедуры закупки в соответствии с требованиями законодательства Российской Федерации о контрактной системе и с учетом решения Московского УФАС России от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02.05.2023 по делу №077/06/106- АК7/2023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.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6. Заказчику, Аукционной комиссии в срок до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02.06.2023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представить в Московское УФАС России подтверждение исполнения настоящего предписания в письменном виде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или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по факсимильной связи (8(495) 607-42-92)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или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электронной</w:t>
        <w:br w:type="page"/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почте по адресу:</w:t>
      </w:r>
      <w:r>
        <w:fldChar w:fldCharType="begin"/>
      </w:r>
      <w:r>
        <w:rPr/>
        <w:instrText> HYPERLINK "mailto:to77@fas.gov.ru" </w:instrText>
      </w:r>
      <w:r>
        <w:fldChar w:fldCharType="separate"/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 </w:t>
      </w:r>
      <w:r>
        <w:rPr>
          <w:color w:val="000080"/>
          <w:spacing w:val="0"/>
          <w:w w:val="100"/>
          <w:position w:val="0"/>
          <w:u w:val="single"/>
          <w:shd w:val="clear" w:color="auto" w:fill="auto"/>
          <w:lang w:val="ru-RU" w:eastAsia="ru-RU" w:bidi="ru-RU"/>
        </w:rPr>
        <w:t>1о77@Та^доу.ги</w:t>
      </w:r>
      <w:r>
        <w:fldChar w:fldCharType="end"/>
      </w:r>
      <w:r>
        <w:rPr>
          <w:color w:val="000080"/>
          <w:spacing w:val="0"/>
          <w:w w:val="100"/>
          <w:position w:val="0"/>
          <w:u w:val="single"/>
          <w:shd w:val="clear" w:color="auto" w:fill="auto"/>
          <w:lang w:val="ru-RU" w:eastAsia="ru-RU" w:bidi="ru-RU"/>
        </w:rPr>
        <w:t>.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Невыполнение должностным лицом заказчика, должностным лицом уполномоченного органа, должностным лицом уполномоченного учреждения, членом комиссии по осуществлению закупок, оператором электронной площадки, специализированной организацией в установленный срок законного предписания, требования органа, уполномоченного на осуществление контроля в сфере закупок, за исключением органа, указанного в ч. 7.1 ст. 19.5 Кодекса Российской Федерации об административных правонарушениях влечет наложение административного штрафа на должностных лиц в размере пятидесяти тысяч рублей; на юридических лиц - пятисот тысяч рублей в соответствии с ч.7 ст.19.5 Кодекса Российской Федерации об административных правонарушениях.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126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Настоящее предписание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от 02.05.2023 по делу № 077/06/106-АК7/2023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может быть обжаловано в судебном порядке в Арбитражном суде г. Москвы в течение 3 (трех) месяцев с даты его принятия в порядке, установленным гл. 24 АПК РФ.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300" w:line="240" w:lineRule="auto"/>
        <w:ind w:left="0" w:right="0" w:firstLine="0"/>
        <w:jc w:val="right"/>
      </w:pPr>
      <w:r>
        <mc:AlternateContent>
          <mc:Choice Requires="wps">
            <w:drawing>
              <wp:anchor distT="0" distB="0" distL="114300" distR="114300" simplePos="0" relativeHeight="125829382" behindDoc="0" locked="0" layoutInCell="1" allowOverlap="1">
                <wp:simplePos x="0" y="0"/>
                <wp:positionH relativeFrom="page">
                  <wp:posOffset>706120</wp:posOffset>
                </wp:positionH>
                <wp:positionV relativeFrom="paragraph">
                  <wp:posOffset>12700</wp:posOffset>
                </wp:positionV>
                <wp:extent cx="1847215" cy="673735"/>
                <wp:wrapSquare wrapText="bothSides"/>
                <wp:docPr id="11" name="Shape 1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847215" cy="67373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7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30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Председательствующий</w:t>
                            </w:r>
                          </w:p>
                          <w:p>
                            <w:pPr>
                              <w:pStyle w:val="Style7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Члены Комиссии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7" type="#_x0000_t202" style="position:absolute;margin-left:55.600000000000001pt;margin-top:1.pt;width:145.45000000000002pt;height:53.050000000000004pt;z-index:-125829371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7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30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Председательствующий</w:t>
                      </w:r>
                    </w:p>
                    <w:p>
                      <w:pPr>
                        <w:pStyle w:val="Style7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Члены Комиссии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С.И. Казарин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300" w:line="240" w:lineRule="auto"/>
        <w:ind w:left="0" w:right="0" w:firstLine="0"/>
        <w:jc w:val="righ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А.А. Кутейников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5280" w:line="240" w:lineRule="auto"/>
        <w:ind w:left="0" w:right="0" w:firstLine="0"/>
        <w:jc w:val="righ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М.О. Мацнева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Исп.Кутейников А.А.тел.8(495)784-75-05</w:t>
      </w:r>
    </w:p>
    <w:sectPr>
      <w:headerReference w:type="default" r:id="rId9"/>
      <w:headerReference w:type="first" r:id="rId10"/>
      <w:footnotePr>
        <w:pos w:val="pageBottom"/>
        <w:numFmt w:val="decimal"/>
        <w:numRestart w:val="continuous"/>
      </w:footnotePr>
      <w:pgSz w:w="11900" w:h="16840"/>
      <w:pgMar w:top="1146" w:right="535" w:bottom="1120" w:left="1102" w:header="0" w:footer="3" w:gutter="0"/>
      <w:pgNumType w:start="1"/>
      <w:cols w:space="720"/>
      <w:noEndnote/>
      <w:titlePg/>
      <w:rtlGutter w:val="0"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header1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3923030</wp:posOffset>
              </wp:positionH>
              <wp:positionV relativeFrom="page">
                <wp:posOffset>468630</wp:posOffset>
              </wp:positionV>
              <wp:extent cx="67310" cy="103505"/>
              <wp:wrapNone/>
              <wp:docPr id="13" name="Shape 1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7310" cy="10350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0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fldSimple w:instr=" PAGE \* MERGEFORMAT "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24"/>
                                <w:szCs w:val="24"/>
                                <w:shd w:val="clear" w:color="auto" w:fill="auto"/>
                                <w:lang w:val="ru-RU" w:eastAsia="ru-RU" w:bidi="ru-RU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9" type="#_x0000_t202" style="position:absolute;margin-left:308.90000000000003pt;margin-top:36.899999999999999pt;width:5.2999999999999998pt;height:8.1500000000000004pt;z-index:-18874406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0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fldSimple w:instr=" PAGE \* MERGEFORMAT "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24"/>
                          <w:szCs w:val="24"/>
                          <w:shd w:val="clear" w:color="auto" w:fill="auto"/>
                          <w:lang w:val="ru-RU" w:eastAsia="ru-RU" w:bidi="ru-RU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</w:p>
</w:hdr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decimal"/>
      <w:lvlText w:val="%1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</w:abstractNum>
  <w:abstractNum w:abstractNumId="2">
    <w:multiLevelType w:val="multilevel"/>
    <w:lvl w:ilvl="0">
      <w:start w:val="1"/>
      <w:numFmt w:val="bullet"/>
      <w:lvlText w:val="-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</w:abstractNum>
  <w:abstractNum w:abstractNumId="4">
    <w:multiLevelType w:val="multilevel"/>
    <w:lvl w:ilvl="0">
      <w:start w:val="1"/>
      <w:numFmt w:val="bullet"/>
      <w:lvlText w:val="-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</w:abstractNum>
  <w:num w:numId="1">
    <w:abstractNumId w:val="0"/>
  </w:num>
  <w:num w:numId="3">
    <w:abstractNumId w:val="2"/>
  </w:num>
  <w:num w:numId="5">
    <w:abstractNumId w:val="4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customStyle="1" w:styleId="CharStyle3">
    <w:name w:val="Основной текст (2)_"/>
    <w:basedOn w:val="DefaultParagraphFont"/>
    <w:link w:val="Style2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425FA6"/>
      <w:sz w:val="19"/>
      <w:szCs w:val="19"/>
      <w:u w:val="none"/>
    </w:rPr>
  </w:style>
  <w:style w:type="character" w:customStyle="1" w:styleId="CharStyle5">
    <w:name w:val="Подпись к картинке_"/>
    <w:basedOn w:val="DefaultParagraphFont"/>
    <w:link w:val="Style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25FA6"/>
      <w:sz w:val="19"/>
      <w:szCs w:val="19"/>
      <w:u w:val="none"/>
    </w:rPr>
  </w:style>
  <w:style w:type="character" w:customStyle="1" w:styleId="CharStyle8">
    <w:name w:val="Основной текст_"/>
    <w:basedOn w:val="DefaultParagraphFont"/>
    <w:link w:val="Style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CharStyle11">
    <w:name w:val="Колонтитул (2)_"/>
    <w:basedOn w:val="DefaultParagraphFont"/>
    <w:link w:val="Style1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15">
    <w:name w:val="Основной текст (3)_"/>
    <w:basedOn w:val="DefaultParagraphFont"/>
    <w:link w:val="Style1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paragraph" w:customStyle="1" w:styleId="Style2">
    <w:name w:val="Основной текст (2)"/>
    <w:basedOn w:val="Normal"/>
    <w:link w:val="CharStyle3"/>
    <w:pPr>
      <w:widowControl w:val="0"/>
      <w:shd w:val="clear" w:color="auto" w:fill="auto"/>
      <w:spacing w:after="200" w:line="250" w:lineRule="auto"/>
      <w:jc w:val="center"/>
    </w:pPr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425FA6"/>
      <w:sz w:val="19"/>
      <w:szCs w:val="19"/>
      <w:u w:val="none"/>
    </w:rPr>
  </w:style>
  <w:style w:type="paragraph" w:customStyle="1" w:styleId="Style4">
    <w:name w:val="Подпись к картинке"/>
    <w:basedOn w:val="Normal"/>
    <w:link w:val="CharStyle5"/>
    <w:pPr>
      <w:widowControl w:val="0"/>
      <w:shd w:val="clear" w:color="auto" w:fill="auto"/>
      <w:jc w:val="center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25FA6"/>
      <w:sz w:val="19"/>
      <w:szCs w:val="19"/>
      <w:u w:val="none"/>
    </w:rPr>
  </w:style>
  <w:style w:type="paragraph" w:customStyle="1" w:styleId="Style7">
    <w:name w:val="Основной текст"/>
    <w:basedOn w:val="Normal"/>
    <w:link w:val="CharStyle8"/>
    <w:pPr>
      <w:widowControl w:val="0"/>
      <w:shd w:val="clear" w:color="auto" w:fill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paragraph" w:customStyle="1" w:styleId="Style10">
    <w:name w:val="Колонтитул (2)"/>
    <w:basedOn w:val="Normal"/>
    <w:link w:val="CharStyle11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14">
    <w:name w:val="Основной текст (3)"/>
    <w:basedOn w:val="Normal"/>
    <w:link w:val="CharStyle15"/>
    <w:pPr>
      <w:widowControl w:val="0"/>
      <w:shd w:val="clear" w:color="auto" w:fill="auto"/>
      <w:spacing w:after="3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image" Target="media/image2.jpeg"/><Relationship Id="rId8" Type="http://schemas.openxmlformats.org/officeDocument/2006/relationships/image" Target="media/image2.jpeg" TargetMode="External"/><Relationship Id="rId9" Type="http://schemas.openxmlformats.org/officeDocument/2006/relationships/header" Target="header1.xml"/><Relationship Id="rId10" Type="http://schemas.openxmlformats.org/officeDocument/2006/relationships/header" Target="header2.xml"/></Relationships>
</file>