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460A3"/>
          <w:spacing w:val="0"/>
          <w:w w:val="100"/>
          <w:position w:val="0"/>
          <w:sz w:val="134"/>
          <w:szCs w:val="134"/>
          <w:u w:val="single"/>
          <w:shd w:val="clear" w:color="auto" w:fill="auto"/>
          <w:lang w:val="ru-RU" w:eastAsia="ru-RU" w:bidi="ru-RU"/>
        </w:rPr>
        <w:t>е</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3"/>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40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Федеральной антимонопольной службы</w:t>
        <w:br/>
        <w:t>по Липецкой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460A3"/>
          <w:spacing w:val="0"/>
          <w:w w:val="100"/>
          <w:position w:val="0"/>
          <w:sz w:val="16"/>
          <w:szCs w:val="16"/>
          <w:shd w:val="clear" w:color="auto" w:fill="auto"/>
          <w:lang w:val="ru-RU" w:eastAsia="ru-RU" w:bidi="ru-RU"/>
        </w:rPr>
        <w:t>пл. Плеханова, 1, г. Липецк, 398050</w:t>
        <w:br/>
        <w:t>тел./факс (4742) 27-14-82</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460A3"/>
          <w:spacing w:val="0"/>
          <w:w w:val="100"/>
          <w:position w:val="0"/>
          <w:sz w:val="16"/>
          <w:szCs w:val="16"/>
          <w:shd w:val="clear" w:color="auto" w:fill="auto"/>
          <w:lang w:val="ru-RU" w:eastAsia="ru-RU" w:bidi="ru-RU"/>
        </w:rPr>
        <w:t>е-таП: 1о48@Газ.</w:t>
      </w:r>
      <w:r>
        <w:rPr>
          <w:smallCaps/>
          <w:color w:val="4460A3"/>
          <w:spacing w:val="0"/>
          <w:w w:val="100"/>
          <w:position w:val="0"/>
          <w:sz w:val="16"/>
          <w:szCs w:val="16"/>
          <w:shd w:val="clear" w:color="auto" w:fill="auto"/>
          <w:lang w:val="ru-RU" w:eastAsia="ru-RU" w:bidi="ru-RU"/>
        </w:rPr>
        <w:t>§оу.гп</w:t>
      </w:r>
      <w:r>
        <w:rPr>
          <w:color w:val="4460A3"/>
          <w:spacing w:val="0"/>
          <w:w w:val="100"/>
          <w:position w:val="0"/>
          <w:sz w:val="16"/>
          <w:szCs w:val="16"/>
          <w:shd w:val="clear" w:color="auto" w:fill="auto"/>
          <w:lang w:val="ru-RU" w:eastAsia="ru-RU" w:bidi="ru-RU"/>
        </w:rPr>
        <w:t xml:space="preserve"> Ьир:/71|ре1як.1а?,."о\.ги</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ИП/3138/2</w:t>
      </w:r>
      <w:r>
        <w:rPr>
          <w:color w:val="000000"/>
          <w:spacing w:val="0"/>
          <w:w w:val="100"/>
          <w:position w:val="0"/>
          <w:u w:val="none"/>
          <w:shd w:val="clear" w:color="auto" w:fill="auto"/>
          <w:lang w:val="ru-RU" w:eastAsia="ru-RU" w:bidi="ru-RU"/>
        </w:rPr>
        <w:t>3</w:t>
      </w:r>
      <w:bookmarkEnd w:id="0"/>
    </w:p>
    <w:p>
      <w:pPr>
        <w:pStyle w:val="Style2"/>
        <w:keepNext w:val="0"/>
        <w:keepLines w:val="0"/>
        <w:widowControl w:val="0"/>
        <w:shd w:val="clear" w:color="auto" w:fill="auto"/>
        <w:bidi w:val="0"/>
        <w:spacing w:before="0" w:after="0" w:line="266" w:lineRule="auto"/>
        <w:ind w:left="0" w:right="0" w:firstLine="0"/>
        <w:jc w:val="center"/>
        <w:rPr>
          <w:sz w:val="18"/>
          <w:szCs w:val="18"/>
        </w:rPr>
      </w:pPr>
      <w:r>
        <w:rPr>
          <w:color w:val="4460A3"/>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Федеральное государственное бюджетное образовательное учреждение высшего образования «Липецкий государственный педагогический университет имени П.П. Семенова-Тян-Шанского» одт@18ри-Нре1:8к.ги;</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гес!ог@18ри-Нре1:8к.ги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800" w:bottom="1217" w:left="1140" w:header="0" w:footer="3" w:gutter="0"/>
          <w:pgNumType w:start="1"/>
          <w:cols w:num="2" w:space="720" w:equalWidth="0">
            <w:col w:w="4214" w:space="1051"/>
            <w:col w:w="4694"/>
          </w:cols>
          <w:noEndnote/>
          <w:titlePg/>
          <w:rtlGutter w:val="0"/>
          <w:docGrid w:linePitch="360"/>
        </w:sectPr>
      </w:pPr>
      <w:r>
        <w:rPr>
          <w:color w:val="000000"/>
          <w:spacing w:val="0"/>
          <w:w w:val="100"/>
          <w:position w:val="0"/>
          <w:shd w:val="clear" w:color="auto" w:fill="auto"/>
          <w:lang w:val="ru-RU" w:eastAsia="ru-RU" w:bidi="ru-RU"/>
        </w:rPr>
        <w:t>Индивидуальный предприниматель Бредихин Максим Викторович ^р-Ь^е^^к^птV@уап^еx.^и</w:t>
      </w:r>
    </w:p>
    <w:p>
      <w:pPr>
        <w:widowControl w:val="0"/>
        <w:spacing w:line="240" w:lineRule="exact"/>
        <w:rPr>
          <w:sz w:val="19"/>
          <w:szCs w:val="19"/>
        </w:rPr>
      </w:pPr>
    </w:p>
    <w:p>
      <w:pPr>
        <w:widowControl w:val="0"/>
        <w:spacing w:line="240" w:lineRule="exact"/>
        <w:rPr>
          <w:sz w:val="19"/>
          <w:szCs w:val="19"/>
        </w:rPr>
      </w:pPr>
    </w:p>
    <w:p>
      <w:pPr>
        <w:widowControl w:val="0"/>
        <w:spacing w:before="68" w:after="6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8" w:right="0" w:bottom="1191" w:left="0" w:header="0" w:footer="3" w:gutter="0"/>
          <w:cols w:space="720"/>
          <w:noEndnote/>
          <w:rtlGutter w:val="0"/>
          <w:docGrid w:linePitch="360"/>
        </w:sectPr>
      </w:pP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 048/06/106-372/2023</w:t>
      </w:r>
    </w:p>
    <w:p>
      <w:pPr>
        <w:pStyle w:val="Style16"/>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5575935</wp:posOffset>
                </wp:positionH>
                <wp:positionV relativeFrom="paragraph">
                  <wp:posOffset>12700</wp:posOffset>
                </wp:positionV>
                <wp:extent cx="697865" cy="234950"/>
                <wp:wrapSquare wrapText="left"/>
                <wp:docPr id="5" name="Shape 5"/>
                <a:graphic xmlns:a="http://schemas.openxmlformats.org/drawingml/2006/main">
                  <a:graphicData uri="http://schemas.microsoft.com/office/word/2010/wordprocessingShape">
                    <wps:wsp>
                      <wps:cNvSpPr txBox="1"/>
                      <wps:spPr>
                        <a:xfrm>
                          <a:ext cx="69786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439.05000000000001pt;margin-top:1.pt;width:54.950000000000003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«02» мая 2023 года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02.05.2023.</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05.05.2023.</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И.В. Поткина - руководитель управления;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заместитель председателя Комиссии: Т.Н. Ролдугина - начальник отдела контроля закупок и торгов;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 Комиссии: С.С. Кажушко - специалист-эксперт отдела контроля закупок и торгов,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w:t>
      </w:r>
    </w:p>
    <w:p>
      <w:pPr>
        <w:pStyle w:val="Style16"/>
        <w:keepNext w:val="0"/>
        <w:keepLines w:val="0"/>
        <w:widowControl w:val="0"/>
        <w:numPr>
          <w:ilvl w:val="0"/>
          <w:numId w:val="1"/>
        </w:numPr>
        <w:shd w:val="clear" w:color="auto" w:fill="auto"/>
        <w:tabs>
          <w:tab w:pos="83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посредством видеоконференцсвязи индивидуального предпринимателя Бредихина Максима Викторовича;</w:t>
      </w:r>
    </w:p>
    <w:p>
      <w:pPr>
        <w:pStyle w:val="Style16"/>
        <w:keepNext w:val="0"/>
        <w:keepLines w:val="0"/>
        <w:widowControl w:val="0"/>
        <w:numPr>
          <w:ilvl w:val="0"/>
          <w:numId w:val="1"/>
        </w:numPr>
        <w:shd w:val="clear" w:color="auto" w:fill="auto"/>
        <w:tabs>
          <w:tab w:pos="84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представителей федерального государственного бюджетного образовательного учреждения высшего образования «Липецкий государственный педагогический университет имени П.П. Семенова-Тян-Шанского»: М.Ю. Белянина и А.В. Каньшина (по доверенности),</w:t>
      </w:r>
    </w:p>
    <w:p>
      <w:pPr>
        <w:pStyle w:val="Style16"/>
        <w:keepNext w:val="0"/>
        <w:keepLines w:val="0"/>
        <w:widowControl w:val="0"/>
        <w:shd w:val="clear" w:color="auto" w:fill="auto"/>
        <w:bidi w:val="0"/>
        <w:spacing w:before="0" w:after="320" w:line="240" w:lineRule="auto"/>
        <w:ind w:left="0" w:right="0" w:firstLine="600"/>
        <w:jc w:val="both"/>
      </w:pPr>
      <w:r>
        <w:rPr>
          <w:color w:val="000000"/>
          <w:spacing w:val="0"/>
          <w:w w:val="100"/>
          <w:position w:val="0"/>
          <w:shd w:val="clear" w:color="auto" w:fill="auto"/>
          <w:lang w:val="ru-RU" w:eastAsia="ru-RU" w:bidi="ru-RU"/>
        </w:rPr>
        <w:t>рассмотрев жалобу индивидуального предпринимателя Бредихина Максима Викторовича на положения извещения о проведении электронного аукциона на оказание услуг по проведению технического обслуживания, ремонта и обеспечение бесперебойного функционирования систем охранного видеонаблюдения и систем СКУД, установленных в помещениях и на территории университета (реестровый номер 0346100007923000011) (далее - электронный аукцион; закупка), а также другие документы (копии), представленные сторонами, проведя внеплановую проверку в соответствии со статьей 99</w:t>
      </w:r>
    </w:p>
    <w:p>
      <w:pPr>
        <w:pStyle w:val="Style18"/>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w:t>
      </w:r>
    </w:p>
    <w:p>
      <w:pPr>
        <w:pStyle w:val="Style16"/>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Закон о контрактной системе) и на основании приказа Липецкого УФАС России,</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индивидуального предпринимателя Бредихина Максима Викторовича (далее - заявитель) на положения извещения о проведении электронного аукциона (заказчик - федеральное государственное бюджетное образовательное учреждение высшего образования «Липецкий государственный педагогический университет имени П.П. Семенова-Тян-Шанского»).</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поддержал доводы жалобы, указав, что заказчик неправомерно установил требование о наличии лицензии на оказание услуг частной (охранной) деятельности, а также неправомерные требования к трудовым ресурсам исполнителя по контракту.</w:t>
      </w:r>
    </w:p>
    <w:p>
      <w:pPr>
        <w:pStyle w:val="Style16"/>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Представители заказчика не согласны с жалобой.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заказчиком 18.04.2023 в ЕИС.</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26.04.2023 участниками осуществлялась подача ценовых предложений.</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27.04.2023 аукционной комиссией заказчика подведены итоги электронного аукциона.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Объектом электронного аукциона является оказание услуг по проведению технического обслуживания, ремонта и обеспечение бесперебойного функционирования систем охранного видеонаблюдения и систем СКУД.</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извещении о проведении электронного аукциона установлено требование к участникам закупки по п. 1 ч. 1 ст. 31 Закона о контрактной системе:</w:t>
      </w:r>
    </w:p>
    <w:p>
      <w:pPr>
        <w:pStyle w:val="Style16"/>
        <w:keepNext w:val="0"/>
        <w:keepLines w:val="0"/>
        <w:widowControl w:val="0"/>
        <w:shd w:val="clear" w:color="auto" w:fill="auto"/>
        <w:bidi w:val="0"/>
        <w:spacing w:before="0" w:after="260" w:line="240" w:lineRule="auto"/>
        <w:ind w:left="0" w:right="0" w:firstLine="580"/>
        <w:jc w:val="both"/>
        <w:sectPr>
          <w:footnotePr>
            <w:pos w:val="pageBottom"/>
            <w:numFmt w:val="decimal"/>
            <w:numRestart w:val="continuous"/>
          </w:footnotePr>
          <w:type w:val="continuous"/>
          <w:pgSz w:w="11900" w:h="16840"/>
          <w:pgMar w:top="88" w:right="534" w:bottom="1191" w:left="1099" w:header="0" w:footer="3" w:gutter="0"/>
          <w:cols w:space="720"/>
          <w:noEndnote/>
          <w:rtlGutter w:val="0"/>
          <w:docGrid w:linePitch="360"/>
        </w:sectPr>
      </w:pPr>
      <w:r>
        <w:rPr>
          <w:color w:val="000000"/>
          <w:spacing w:val="0"/>
          <w:w w:val="100"/>
          <w:position w:val="0"/>
          <w:shd w:val="clear" w:color="auto" w:fill="auto"/>
          <w:lang w:val="ru-RU" w:eastAsia="ru-RU" w:bidi="ru-RU"/>
        </w:rPr>
        <w:t xml:space="preserve">Услуги должны быть оказаны в соответствии с требованиями действующего законодательства и нормативно-технических документов, в частности в соответствии с Постановлением Правительства РФ от 2 августа 2019 г.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 и Законом Российской Федерации от 11.03.1992 № 2487-1 «О частной детективной и охранной деятельности в Российской Федерации» </w:t>
      </w:r>
      <w:r>
        <w:rPr>
          <w:color w:val="000000"/>
          <w:spacing w:val="0"/>
          <w:w w:val="100"/>
          <w:position w:val="0"/>
          <w:u w:val="single"/>
          <w:shd w:val="clear" w:color="auto" w:fill="auto"/>
          <w:lang w:val="ru-RU" w:eastAsia="ru-RU" w:bidi="ru-RU"/>
        </w:rPr>
        <w:t>наличие у Исполнителя действующей лицензии на осуществление частной охранной деятельности и всех пунктов на оказание данных видов услуг: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r>
        <w:rPr>
          <w:color w:val="000000"/>
          <w:spacing w:val="0"/>
          <w:w w:val="100"/>
          <w:position w:val="0"/>
          <w:shd w:val="clear" w:color="auto" w:fill="auto"/>
          <w:lang w:val="ru-RU" w:eastAsia="ru-RU" w:bidi="ru-RU"/>
        </w:rPr>
        <w:t xml:space="preserve"> В связи с последними изменениями законодательства в штате организации Исполнителя должны быть работники, не менее 2 человек, имеющих удостоверения о повышении квалификации «монтаж и проектирование слаботочных систем» с обязательным прохождением программы обучения по монтажу и обслуживанию видеонаблюдения и СКУД. </w:t>
      </w:r>
      <w:r>
        <w:rPr>
          <w:color w:val="000000"/>
          <w:spacing w:val="0"/>
          <w:w w:val="100"/>
          <w:position w:val="0"/>
          <w:u w:val="single"/>
          <w:shd w:val="clear" w:color="auto" w:fill="auto"/>
          <w:lang w:val="ru-RU" w:eastAsia="ru-RU" w:bidi="ru-RU"/>
        </w:rPr>
        <w:t>Данные о прохождении</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u w:val="single"/>
          <w:shd w:val="clear" w:color="auto" w:fill="auto"/>
          <w:lang w:val="ru-RU" w:eastAsia="ru-RU" w:bidi="ru-RU"/>
        </w:rPr>
        <w:t>повышения квалификации сотрудников должны быть внесены в реестр ФИС ФРДО (предоставить документы о профессиональной переподготовке и удостоверения о повышении квалификации)</w:t>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Закон Российской Федерации от 11.03.1992 ^ 2487-1 "О частной детективной и охранной деятельности в Российской Федерации" устанавливает, что </w:t>
      </w:r>
      <w:r>
        <w:rPr>
          <w:i/>
          <w:iCs/>
          <w:color w:val="000000"/>
          <w:spacing w:val="0"/>
          <w:w w:val="100"/>
          <w:position w:val="0"/>
          <w:u w:val="single"/>
          <w:shd w:val="clear" w:color="auto" w:fill="auto"/>
          <w:lang w:val="ru-RU" w:eastAsia="ru-RU" w:bidi="ru-RU"/>
        </w:rPr>
        <w:t xml:space="preserve">в целях охраны </w:t>
      </w:r>
      <w:r>
        <w:rPr>
          <w:color w:val="000000"/>
          <w:spacing w:val="0"/>
          <w:w w:val="100"/>
          <w:position w:val="0"/>
          <w:shd w:val="clear" w:color="auto" w:fill="auto"/>
          <w:lang w:val="ru-RU" w:eastAsia="ru-RU" w:bidi="ru-RU"/>
        </w:rPr>
        <w:t>разрешается предоставление следующего вида услуг: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 (ст. 3).</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пунктом 32 части 1 статьи 12 Федерального закона от 04.05.2011 ^ 99 "О лицензировании отдельных видов деятельности" частная охранная деятельность является видом деятельности, подлежащим лицензированию.</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Согласно письму ФАС России от 29.07.2020 ^ МЕ/64555/20 проектирование, монтаж и эксплуатационное обслуживание технических средств охраны может предоставляться </w:t>
      </w:r>
      <w:r>
        <w:rPr>
          <w:i/>
          <w:iCs/>
          <w:color w:val="000000"/>
          <w:spacing w:val="0"/>
          <w:w w:val="100"/>
          <w:position w:val="0"/>
          <w:shd w:val="clear" w:color="auto" w:fill="auto"/>
          <w:lang w:val="ru-RU" w:eastAsia="ru-RU" w:bidi="ru-RU"/>
        </w:rPr>
        <w:t>как отдельная услуга, к которой не применяются требования, установленные Постановлением ^ 498</w:t>
      </w:r>
      <w:r>
        <w:rPr>
          <w:color w:val="000000"/>
          <w:spacing w:val="0"/>
          <w:w w:val="100"/>
          <w:position w:val="0"/>
          <w:shd w:val="clear" w:color="auto" w:fill="auto"/>
          <w:lang w:val="ru-RU" w:eastAsia="ru-RU" w:bidi="ru-RU"/>
        </w:rPr>
        <w:t>, и оказание которой в соответствии с законодательством Российской Федерации может осуществляться без наличия какого-либо разрешения. Хозяйствующие субъекты, оказывающие данную услугу, не имеют лицензий в сфере частной охранной деятельности и, соответственно, не осуществляют непосредственно охрану объектов и (или) имущества.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заседании Комиссии установлено, что заказчик в рассматриваемом случае не закупает услуги по охране своих объектов. Описание объекта закупки, проект контракта не содержат требований к оказанию охранных услуг.</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Представители заказчика подтвердили, что в рамках исполнения контракта требуется оказание услуг по проведению технического обслуживания, ремонта и обеспечение бесперебойного функционирования систем охранного видеонаблюдения и систем СКУД. Охрана объектов заказчика осуществляется по отдельному контракту.</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 1 ч. 1 ст. 31 Закона о контрактной системе обязывает заказчика предъявлять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 12 ч. 1 ст. 43 Закона о контрактной системе, извещение о проведении закупки должно содержать: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6"/>
        <w:keepNext w:val="0"/>
        <w:keepLines w:val="0"/>
        <w:widowControl w:val="0"/>
        <w:shd w:val="clear" w:color="auto" w:fill="auto"/>
        <w:bidi w:val="0"/>
        <w:spacing w:before="0" w:after="0" w:line="262" w:lineRule="auto"/>
        <w:ind w:left="0" w:right="0" w:firstLine="580"/>
        <w:jc w:val="both"/>
        <w:rPr>
          <w:sz w:val="24"/>
          <w:szCs w:val="24"/>
        </w:rPr>
        <w:sectPr>
          <w:footerReference w:type="default" r:id="rId7"/>
          <w:footnotePr>
            <w:pos w:val="pageBottom"/>
            <w:numFmt w:val="decimal"/>
            <w:numRestart w:val="continuous"/>
          </w:footnotePr>
          <w:pgSz w:w="11900" w:h="16840"/>
          <w:pgMar w:top="1110" w:right="531" w:bottom="612" w:left="1101" w:header="682" w:footer="184"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В данном случае, поскольку услуги по охране не входят в объект закупки, то установление требования к участникам о наличии действующей лицензии на осуществление частной охранной деятельности и всех пунктов на оказание данных видов услуг: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 не соответствует положениям п. 1 ч. 1 ст. 31 Закона о контрактной системе и является </w:t>
      </w:r>
      <w:r>
        <w:rPr>
          <w:color w:val="000000"/>
          <w:spacing w:val="0"/>
          <w:w w:val="100"/>
          <w:position w:val="0"/>
          <w:sz w:val="24"/>
          <w:szCs w:val="24"/>
          <w:shd w:val="clear" w:color="auto" w:fill="auto"/>
          <w:lang w:val="ru-RU" w:eastAsia="ru-RU" w:bidi="ru-RU"/>
        </w:rPr>
        <w:t>2023-3866</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нарушением п. 12 ч. 1 ст. 43 данного закона.</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Более того, вторая часть рассматриваемого требования к участникам (В связи с последними изменениями законодательства в штате организации Исполнителя должны быть работники, не менее 2 человек, имеющих удостоверения о повышении квалификации «монтаж и проектирование слаботочных систем» с обязательным прохождением программы обучения по монтажу и обслуживанию видеонаблюдения и СКУД. Данные о прохождении повышения квалификации сотрудников должны быть внесены в реестр ФИС ФРДО (предоставить документы о профессиональной переподготовке и удостоверения о повышении квалификации)) установлена заказчиком произвольно, поскольку действующим законодательством к лицам, осуществляющим работы по проведению технического обслуживания, ремонта и обеспечение бесперебойного функционирования систем охранного видеонаблюдения и систем СКУД, указанные заказчиком требования не предъявляются.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 3 ст.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п. 3.2.3 описания объекта закупки установлено, что в штате организации у Исполнителя также должен быть сертифицированный компанией 1)оог11ап сотрудник для осуществления обслуживания систем СКУД, в частности, оборудования, принадлежащей компании [)оог11ап торговых марок:</w:t>
      </w:r>
    </w:p>
    <w:p>
      <w:pPr>
        <w:pStyle w:val="Style16"/>
        <w:keepNext w:val="0"/>
        <w:keepLines w:val="0"/>
        <w:widowControl w:val="0"/>
        <w:numPr>
          <w:ilvl w:val="0"/>
          <w:numId w:val="3"/>
        </w:numPr>
        <w:shd w:val="clear" w:color="auto" w:fill="auto"/>
        <w:tabs>
          <w:tab w:pos="80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шлагбаум ВАКК1ЕК-РКО/ВАКК1ЕК-РКО_КР;</w:t>
      </w:r>
    </w:p>
    <w:p>
      <w:pPr>
        <w:pStyle w:val="Style16"/>
        <w:keepNext w:val="0"/>
        <w:keepLines w:val="0"/>
        <w:widowControl w:val="0"/>
        <w:numPr>
          <w:ilvl w:val="0"/>
          <w:numId w:val="3"/>
        </w:numPr>
        <w:shd w:val="clear" w:color="auto" w:fill="auto"/>
        <w:tabs>
          <w:tab w:pos="80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привод для откатных ворот 8Ндтд-1300РВ.О;</w:t>
      </w:r>
    </w:p>
    <w:p>
      <w:pPr>
        <w:pStyle w:val="Style16"/>
        <w:keepNext w:val="0"/>
        <w:keepLines w:val="0"/>
        <w:widowControl w:val="0"/>
        <w:numPr>
          <w:ilvl w:val="0"/>
          <w:numId w:val="3"/>
        </w:numPr>
        <w:shd w:val="clear" w:color="auto" w:fill="auto"/>
        <w:tabs>
          <w:tab w:pos="77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привод распашных ворот [)О(.Ж11Л\ (</w:t>
      </w:r>
      <w:r>
        <w:rPr>
          <w:b/>
          <w:bCs/>
          <w:color w:val="000000"/>
          <w:spacing w:val="0"/>
          <w:w w:val="100"/>
          <w:position w:val="0"/>
          <w:u w:val="single"/>
          <w:shd w:val="clear" w:color="auto" w:fill="auto"/>
          <w:lang w:val="ru-RU" w:eastAsia="ru-RU" w:bidi="ru-RU"/>
        </w:rPr>
        <w:t>предоставить сертификат о прохождении обучения в учебно-техническом центре ^оо^Нап)</w:t>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Обслуживанием систем охранного видеонаблюдения компании I Нкхачоп должен также заниматься сертифицированный (имеющий документ о прохождении курсов) данной компанией специалист, находящийся в штате организации </w:t>
      </w:r>
      <w:r>
        <w:rPr>
          <w:b/>
          <w:bCs/>
          <w:color w:val="000000"/>
          <w:spacing w:val="0"/>
          <w:w w:val="100"/>
          <w:position w:val="0"/>
          <w:u w:val="single"/>
          <w:shd w:val="clear" w:color="auto" w:fill="auto"/>
          <w:lang w:val="ru-RU" w:eastAsia="ru-RU" w:bidi="ru-RU"/>
        </w:rPr>
        <w:t>(предоставить сертификат о прохождении курсов по монтажу и обслуживанию камер Н1ку181оп)</w:t>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Представители заказчика сообщили, что обозначенное оборудование не находится на гарантийном обслуживании.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Также в данном пункте описания объекта закупки установлено, что в связи с последними изменениями законодательства в штате организации Исполнителя должны быть работники, не менее 2 человек, имеющих удостоверения о повышении квалификации «монтаж и проектирование слаботочных систем» с обязательным прохождением программы обучения по монтажу и обслуживанию видеонаблюдения и СКУД. Данные о прохождении повышения квалификации сотрудников должны быть внесены в реестр ФИС ФРДО (предоставить документы о профессиональной переподготовке и удостоверения о повышении квалификации).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Однако, как уже отмечалось ранее, данное требование установлено заказчиком без учета нормативных актов, регулирующих порядок оказания услуг, являющихся объектом закупки.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данном случае заказчиком установлены необоснованные требования к трудовым ресурсам исполнителя о наличии необязательной сертификации, прохождение которой требует дополнительных затрат, а также об их квалификации.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 1 ч. 2 ст. 42 Закона о контрактной системе определяет, что извещение о проведении закупки должно содержать описание объекта закупки в соответствии со статьей 33 настоящего Федерального закона.</w:t>
      </w:r>
    </w:p>
    <w:p>
      <w:pPr>
        <w:pStyle w:val="Style16"/>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В рассматриваемой части описание объекта закупки произведено заказчиком без учета положений ч. 3 ст. 33 Закона о контрактной системе и является нарушением п. 1 ч. 2 ст. 42 Закона о контрактной системе.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пункте 3.2.4 описания объекта закупки установлено, что Исполнитель обязан организовать работу группы, члены которой должны состоять в штате организации Исполнителя, не менее чем из 3 человек, соответствующих требованиям, изложенным в п.3.2.3., при этом они должны постоянно в ежедневном режиме находиться на объектах университета, указанных в п. 1.1., с 7.30 до 18.00. С 18.00 до 7.30 Исполнитель обязан организовать работу дежурной ремонтной группы, время прибытия которой на объекты университета по требованию Заказчика, должно составлять не более 15 мин. (предоставить список группы с трудовыми договорами с Исполнителем). Таким образом, Исполнитель обязан организовать оказание услуг в круглосуточном режиме: обязательно наличие круглосуточной сервисной службы, организующей реагирование 24 часа по заявке и выезд дежурной ремонтной группы.</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Представители заказчика сообщили, что оборудование расположено в трех корпусах заказчика, значительно удаленных друг от друга. Для оперативного решения возникающих с оборудованием проблем заказчику необходимо постоянное нахождение специалистов на объектах.</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отмечает, что заказчик вправе установить подобное требование к порядку оказания услуг. Невозможность заявителя выполнить данное условие не свидетельствует о нарушении заказчиком правил описания объекта закупки.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изложенным, довод заявителя невыполнимости п. 3.2.4 описания объекта закупки признается необоснованным.</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Допущенные заказчиком нарушения Закона о контрактной системе содержат признаки совершения административного правонарушения, предусмотренного ч. 1.4 ст. 7.30 КоАП РФ.</w:t>
      </w:r>
    </w:p>
    <w:p>
      <w:pPr>
        <w:pStyle w:val="Style16"/>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r>
        <w:br w:type="page"/>
      </w:r>
    </w:p>
    <w:p>
      <w:pPr>
        <w:pStyle w:val="Style16"/>
        <w:keepNext w:val="0"/>
        <w:keepLines w:val="0"/>
        <w:widowControl w:val="0"/>
        <w:numPr>
          <w:ilvl w:val="0"/>
          <w:numId w:val="5"/>
        </w:numPr>
        <w:shd w:val="clear" w:color="auto" w:fill="auto"/>
        <w:tabs>
          <w:tab w:pos="10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жалобу индивидуального предпринимателя Бредихина Максима Викторовича на положения извещения о проведении электронного аукциона на оказание услуг по проведению технического обслуживания, ремонта и обеспечение бесперебойного функционирования систем охранного видеонаблюдения и систем СКУД, установленных в помещениях и на территории университета (реестровый номер 0346100007923000011) обоснованной в части доводов о: неправомерных требованиях к участникам закупки; неправомерном установлении в описания объекта закупки требований к трудовым ресурсам исполнителя.</w:t>
      </w:r>
    </w:p>
    <w:p>
      <w:pPr>
        <w:pStyle w:val="Style16"/>
        <w:keepNext w:val="0"/>
        <w:keepLines w:val="0"/>
        <w:widowControl w:val="0"/>
        <w:numPr>
          <w:ilvl w:val="0"/>
          <w:numId w:val="5"/>
        </w:numPr>
        <w:shd w:val="clear" w:color="auto" w:fill="auto"/>
        <w:tabs>
          <w:tab w:pos="10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действиях заказчика установлены нарушения ст. 42 Закона о контрактной системе.</w:t>
      </w:r>
    </w:p>
    <w:p>
      <w:pPr>
        <w:pStyle w:val="Style16"/>
        <w:keepNext w:val="0"/>
        <w:keepLines w:val="0"/>
        <w:widowControl w:val="0"/>
        <w:numPr>
          <w:ilvl w:val="0"/>
          <w:numId w:val="5"/>
        </w:numPr>
        <w:shd w:val="clear" w:color="auto" w:fill="auto"/>
        <w:tabs>
          <w:tab w:pos="16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Выдать предписание об устранении нарушений.</w:t>
      </w:r>
    </w:p>
    <w:p>
      <w:pPr>
        <w:pStyle w:val="Style16"/>
        <w:keepNext w:val="0"/>
        <w:keepLines w:val="0"/>
        <w:widowControl w:val="0"/>
        <w:numPr>
          <w:ilvl w:val="0"/>
          <w:numId w:val="5"/>
        </w:numPr>
        <w:shd w:val="clear" w:color="auto" w:fill="auto"/>
        <w:tabs>
          <w:tab w:pos="10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Передать материалы дела должностному лицу Липецкого УФАС России для рассмотрения вопроса о возбуждении административного производства.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erReference w:type="default" r:id="rId8"/>
          <w:footnotePr>
            <w:pos w:val="pageBottom"/>
            <w:numFmt w:val="decimal"/>
            <w:numRestart w:val="continuous"/>
          </w:footnotePr>
          <w:pgSz w:w="11900" w:h="16840"/>
          <w:pgMar w:top="1073" w:right="534" w:bottom="1148" w:left="1098" w:header="645" w:footer="3" w:gutter="0"/>
          <w:cols w:space="720"/>
          <w:noEndnote/>
          <w:rtlGutter w:val="0"/>
          <w:docGrid w:linePitch="360"/>
        </w:sectPr>
      </w:pPr>
      <w:r>
        <mc:AlternateContent>
          <mc:Choice Requires="wps">
            <w:drawing>
              <wp:anchor distT="304800" distB="234315" distL="0" distR="0" simplePos="0" relativeHeight="125829380" behindDoc="0" locked="0" layoutInCell="1" allowOverlap="1">
                <wp:simplePos x="0" y="0"/>
                <wp:positionH relativeFrom="page">
                  <wp:posOffset>739140</wp:posOffset>
                </wp:positionH>
                <wp:positionV relativeFrom="paragraph">
                  <wp:posOffset>304800</wp:posOffset>
                </wp:positionV>
                <wp:extent cx="1771015" cy="234950"/>
                <wp:wrapTopAndBottom/>
                <wp:docPr id="9" name="Shape 9"/>
                <a:graphic xmlns:a="http://schemas.openxmlformats.org/drawingml/2006/main">
                  <a:graphicData uri="http://schemas.microsoft.com/office/word/2010/wordprocessingShape">
                    <wps:wsp>
                      <wps:cNvSpPr txBox="1"/>
                      <wps:spPr>
                        <a:xfrm>
                          <a:ext cx="177101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00000000000003pt;margin-top:24.pt;width:139.45000000000002pt;height:18.5pt;z-index:-125829373;mso-wrap-distance-left:0;mso-wrap-distance-top:24.pt;mso-wrap-distance-right:0;mso-wrap-distance-bottom:18.4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77825" distB="0" distL="0" distR="1786255" simplePos="0" relativeHeight="125829382" behindDoc="0" locked="0" layoutInCell="1" allowOverlap="1">
            <wp:simplePos x="0" y="0"/>
            <wp:positionH relativeFrom="page">
              <wp:posOffset>2662555</wp:posOffset>
            </wp:positionH>
            <wp:positionV relativeFrom="paragraph">
              <wp:posOffset>377825</wp:posOffset>
            </wp:positionV>
            <wp:extent cx="347345"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466090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36.700000000000003pt;width:135.59999999999999pt;height:20.150000000000002pt;z-index:25165772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34315" distL="0" distR="0" simplePos="0" relativeHeight="125829383" behindDoc="0" locked="0" layoutInCell="1" allowOverlap="1">
                <wp:simplePos x="0" y="0"/>
                <wp:positionH relativeFrom="page">
                  <wp:posOffset>6203950</wp:posOffset>
                </wp:positionH>
                <wp:positionV relativeFrom="paragraph">
                  <wp:posOffset>304800</wp:posOffset>
                </wp:positionV>
                <wp:extent cx="987425" cy="234950"/>
                <wp:wrapTopAndBottom/>
                <wp:docPr id="15" name="Shape 15"/>
                <a:graphic xmlns:a="http://schemas.openxmlformats.org/drawingml/2006/main">
                  <a:graphicData uri="http://schemas.microsoft.com/office/word/2010/wordprocessingShape">
                    <wps:wsp>
                      <wps:cNvSpPr txBox="1"/>
                      <wps:spPr>
                        <a:xfrm>
                          <a:ext cx="98742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41" type="#_x0000_t202" style="position:absolute;margin-left:488.5pt;margin-top:24.pt;width:77.75pt;height:18.5pt;z-index:-125829370;mso-wrap-distance-left:0;mso-wrap-distance-top:24.pt;mso-wrap-distance-right:0;mso-wrap-distance-bottom:18.4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widowControl w:val="0"/>
        <w:spacing w:line="1" w:lineRule="exact"/>
      </w:pPr>
      <w:r>
        <w:drawing>
          <wp:anchor distT="69850" distB="0" distL="114300" distR="4296410" simplePos="0" relativeHeight="125829385" behindDoc="0" locked="0" layoutInCell="1" allowOverlap="1">
            <wp:simplePos x="0" y="0"/>
            <wp:positionH relativeFrom="page">
              <wp:posOffset>2659380</wp:posOffset>
            </wp:positionH>
            <wp:positionV relativeFrom="paragraph">
              <wp:posOffset>871220</wp:posOffset>
            </wp:positionV>
            <wp:extent cx="353695" cy="536575"/>
            <wp:wrapSquare wrapText="lef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3116580</wp:posOffset>
                </wp:positionH>
                <wp:positionV relativeFrom="paragraph">
                  <wp:posOffset>1273810</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40000000000001pt;margin-top:100.3pt;width:101.05pt;height:8.1500000000000004pt;z-index:251657731;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962660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2.05000000000001pt;margin-top:75.799999999999997pt;width:135.59999999999999pt;height:20.150000000000002pt;z-index:251657733;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0" distB="371475" distL="3555365" distR="114935" simplePos="0" relativeHeight="125829386" behindDoc="0" locked="0" layoutInCell="1" allowOverlap="1">
                <wp:simplePos x="0" y="0"/>
                <wp:positionH relativeFrom="page">
                  <wp:posOffset>6100445</wp:posOffset>
                </wp:positionH>
                <wp:positionV relativeFrom="paragraph">
                  <wp:posOffset>801370</wp:posOffset>
                </wp:positionV>
                <wp:extent cx="1090930" cy="234950"/>
                <wp:wrapSquare wrapText="left"/>
                <wp:docPr id="23" name="Shape 23"/>
                <a:graphic xmlns:a="http://schemas.openxmlformats.org/drawingml/2006/main">
                  <a:graphicData uri="http://schemas.microsoft.com/office/word/2010/wordprocessingShape">
                    <wps:wsp>
                      <wps:cNvSpPr txBox="1"/>
                      <wps:spPr>
                        <a:xfrm>
                          <a:ext cx="109093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49" type="#_x0000_t202" style="position:absolute;margin-left:480.35000000000002pt;margin-top:63.100000000000001pt;width:85.900000000000006pt;height:18.5pt;z-index:-125829367;mso-wrap-distance-left:279.94999999999999pt;mso-wrap-distance-right:9.0500000000000007pt;mso-wrap-distance-bottom:29.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square" side="left" anchorx="page"/>
              </v:shape>
            </w:pict>
          </mc:Fallback>
        </mc:AlternateContent>
      </w:r>
      <w:r>
        <mc:AlternateContent>
          <mc:Choice Requires="wps">
            <w:drawing>
              <wp:anchor distT="215900" distB="182880" distL="114300" distR="5399405" simplePos="0" relativeHeight="125829388" behindDoc="0" locked="0" layoutInCell="1" allowOverlap="1">
                <wp:simplePos x="0" y="0"/>
                <wp:positionH relativeFrom="page">
                  <wp:posOffset>735965</wp:posOffset>
                </wp:positionH>
                <wp:positionV relativeFrom="paragraph">
                  <wp:posOffset>2008505</wp:posOffset>
                </wp:positionV>
                <wp:extent cx="1164590" cy="234950"/>
                <wp:wrapTopAndBottom/>
                <wp:docPr id="25" name="Shape 25"/>
                <a:graphic xmlns:a="http://schemas.openxmlformats.org/drawingml/2006/main">
                  <a:graphicData uri="http://schemas.microsoft.com/office/word/2010/wordprocessingShape">
                    <wps:wsp>
                      <wps:cNvSpPr txBox="1"/>
                      <wps:spPr>
                        <a:xfrm>
                          <a:ext cx="116459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51" type="#_x0000_t202" style="position:absolute;margin-left:57.950000000000003pt;margin-top:158.15000000000001pt;width:91.700000000000003pt;height:18.5pt;z-index:-125829365;mso-wrap-distance-left:9.pt;mso-wrap-distance-top:17.pt;mso-wrap-distance-right:425.15000000000003pt;mso-wrap-distance-bottom:14.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mc:AlternateContent>
          <mc:Choice Requires="wps">
            <w:drawing>
              <wp:anchor distT="377190" distB="635" distL="2452370" distR="2503805" simplePos="0" relativeHeight="125829390" behindDoc="0" locked="0" layoutInCell="1" allowOverlap="1">
                <wp:simplePos x="0" y="0"/>
                <wp:positionH relativeFrom="page">
                  <wp:posOffset>3074035</wp:posOffset>
                </wp:positionH>
                <wp:positionV relativeFrom="paragraph">
                  <wp:posOffset>2169795</wp:posOffset>
                </wp:positionV>
                <wp:extent cx="1722120" cy="255905"/>
                <wp:wrapTopAndBottom/>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 xml:space="preserve">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color w:val="212121"/>
                                <w:spacing w:val="0"/>
                                <w:w w:val="100"/>
                                <w:position w:val="0"/>
                                <w:sz w:val="12"/>
                                <w:szCs w:val="12"/>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42.05000000000001pt;margin-top:170.84999999999999pt;width:135.59999999999999pt;height:20.150000000000002pt;z-index:-125829363;mso-wrap-distance-left:193.09999999999999pt;mso-wrap-distance-top:29.699999999999999pt;mso-wrap-distance-right:197.15000000000001pt;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 xml:space="preserve">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color w:val="212121"/>
                          <w:spacing w:val="0"/>
                          <w:w w:val="100"/>
                          <w:position w:val="0"/>
                          <w:sz w:val="12"/>
                          <w:szCs w:val="12"/>
                          <w:shd w:val="clear" w:color="auto" w:fill="auto"/>
                          <w:lang w:val="ru-RU" w:eastAsia="ru-RU" w:bidi="ru-RU"/>
                        </w:rPr>
                        <w:t>России</w:t>
                      </w:r>
                    </w:p>
                  </w:txbxContent>
                </v:textbox>
                <w10:wrap type="topAndBottom" anchorx="page"/>
              </v:shape>
            </w:pict>
          </mc:Fallback>
        </mc:AlternateContent>
      </w:r>
      <w:r>
        <mc:AlternateContent>
          <mc:Choice Requires="wps">
            <w:drawing>
              <wp:anchor distT="215900" distB="182880" distL="5536565" distR="114300" simplePos="0" relativeHeight="125829392" behindDoc="0" locked="0" layoutInCell="1" allowOverlap="1">
                <wp:simplePos x="0" y="0"/>
                <wp:positionH relativeFrom="page">
                  <wp:posOffset>6158230</wp:posOffset>
                </wp:positionH>
                <wp:positionV relativeFrom="paragraph">
                  <wp:posOffset>2008505</wp:posOffset>
                </wp:positionV>
                <wp:extent cx="1027430" cy="234950"/>
                <wp:wrapTopAndBottom/>
                <wp:docPr id="29" name="Shape 29"/>
                <a:graphic xmlns:a="http://schemas.openxmlformats.org/drawingml/2006/main">
                  <a:graphicData uri="http://schemas.microsoft.com/office/word/2010/wordprocessingShape">
                    <wps:wsp>
                      <wps:cNvSpPr txBox="1"/>
                      <wps:spPr>
                        <a:xfrm>
                          <a:ext cx="102743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55" type="#_x0000_t202" style="position:absolute;margin-left:484.90000000000003pt;margin-top:158.15000000000001pt;width:80.900000000000006pt;height:18.5pt;z-index:-125829361;mso-wrap-distance-left:435.94999999999999pt;mso-wrap-distance-top:17.pt;mso-wrap-distance-right:9.pt;mso-wrap-distance-bottom:14.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4C4C4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Поткина Ирина Владимировна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12121"/>
          <w:spacing w:val="0"/>
          <w:w w:val="100"/>
          <w:position w:val="0"/>
          <w:sz w:val="12"/>
          <w:szCs w:val="12"/>
          <w:shd w:val="clear" w:color="auto" w:fill="auto"/>
          <w:lang w:val="ru-RU" w:eastAsia="ru-RU" w:bidi="ru-RU"/>
        </w:rPr>
        <w:t>673240291</w:t>
      </w:r>
      <w:r>
        <w:rPr>
          <w:rFonts w:ascii="Arial" w:eastAsia="Arial" w:hAnsi="Arial" w:cs="Arial"/>
          <w:color w:val="4C4C4C"/>
          <w:spacing w:val="0"/>
          <w:w w:val="100"/>
          <w:position w:val="0"/>
          <w:sz w:val="12"/>
          <w:szCs w:val="12"/>
          <w:shd w:val="clear" w:color="auto" w:fill="auto"/>
          <w:lang w:val="ru-RU" w:eastAsia="ru-RU" w:bidi="ru-RU"/>
        </w:rPr>
        <w:t>АЕА7253В03А8ОЕ063791540</w:t>
      </w:r>
    </w:p>
    <w:p>
      <w:pPr>
        <w:pStyle w:val="Style2"/>
        <w:keepNext w:val="0"/>
        <w:keepLines w:val="0"/>
        <w:widowControl w:val="0"/>
        <w:shd w:val="clear" w:color="auto" w:fill="auto"/>
        <w:bidi w:val="0"/>
        <w:spacing w:before="0" w:after="580" w:line="240" w:lineRule="auto"/>
        <w:ind w:left="31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4C4C4C"/>
          <w:spacing w:val="0"/>
          <w:w w:val="100"/>
          <w:position w:val="0"/>
          <w:sz w:val="12"/>
          <w:szCs w:val="12"/>
          <w:shd w:val="clear" w:color="auto" w:fill="auto"/>
          <w:lang w:val="ru-RU" w:eastAsia="ru-RU" w:bidi="ru-RU"/>
        </w:rPr>
        <w:t xml:space="preserve">с </w:t>
      </w:r>
      <w:r>
        <w:rPr>
          <w:rFonts w:ascii="Arial" w:eastAsia="Arial" w:hAnsi="Arial" w:cs="Arial"/>
          <w:color w:val="6B6B6B"/>
          <w:spacing w:val="0"/>
          <w:w w:val="100"/>
          <w:position w:val="0"/>
          <w:sz w:val="12"/>
          <w:szCs w:val="12"/>
          <w:shd w:val="clear" w:color="auto" w:fill="auto"/>
          <w:lang w:val="ru-RU" w:eastAsia="ru-RU" w:bidi="ru-RU"/>
        </w:rPr>
        <w:t xml:space="preserve">21.12.2022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4C4C4C"/>
          <w:spacing w:val="0"/>
          <w:w w:val="100"/>
          <w:position w:val="0"/>
          <w:sz w:val="12"/>
          <w:szCs w:val="12"/>
          <w:shd w:val="clear" w:color="auto" w:fill="auto"/>
          <w:lang w:val="ru-RU" w:eastAsia="ru-RU" w:bidi="ru-RU"/>
        </w:rPr>
        <w:t>15.03.2024</w:t>
      </w:r>
    </w:p>
    <w:p>
      <w:pPr>
        <w:pStyle w:val="Style16"/>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Зам. председателя Комиссии:</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Ролдугина Татьяна Николаевна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C4C4C"/>
          <w:spacing w:val="0"/>
          <w:w w:val="100"/>
          <w:position w:val="0"/>
          <w:sz w:val="12"/>
          <w:szCs w:val="12"/>
          <w:shd w:val="clear" w:color="auto" w:fill="auto"/>
          <w:lang w:val="ru-RU" w:eastAsia="ru-RU" w:bidi="ru-RU"/>
        </w:rPr>
        <w:t xml:space="preserve">00АЭА04Е6ССАО8В1 </w:t>
      </w:r>
      <w:r>
        <w:rPr>
          <w:rFonts w:ascii="Arial" w:eastAsia="Arial" w:hAnsi="Arial" w:cs="Arial"/>
          <w:color w:val="6B6B6B"/>
          <w:spacing w:val="0"/>
          <w:w w:val="100"/>
          <w:position w:val="0"/>
          <w:sz w:val="12"/>
          <w:szCs w:val="12"/>
          <w:shd w:val="clear" w:color="auto" w:fill="auto"/>
          <w:lang w:val="ru-RU" w:eastAsia="ru-RU" w:bidi="ru-RU"/>
        </w:rPr>
        <w:t>В53СВ77С7В2АС0В8</w:t>
      </w:r>
      <w:r>
        <w:rPr>
          <w:rFonts w:ascii="Arial" w:eastAsia="Arial" w:hAnsi="Arial" w:cs="Arial"/>
          <w:color w:val="6B6B6B"/>
          <w:spacing w:val="0"/>
          <w:w w:val="100"/>
          <w:position w:val="0"/>
          <w:sz w:val="12"/>
          <w:szCs w:val="12"/>
          <w:shd w:val="clear" w:color="auto" w:fill="auto"/>
          <w:lang w:val="ru-RU" w:eastAsia="ru-RU" w:bidi="ru-RU"/>
        </w:rPr>
        <w:t>С</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4C4C4C"/>
          <w:spacing w:val="0"/>
          <w:w w:val="100"/>
          <w:position w:val="0"/>
          <w:sz w:val="12"/>
          <w:szCs w:val="12"/>
          <w:shd w:val="clear" w:color="auto" w:fill="auto"/>
          <w:lang w:val="ru-RU" w:eastAsia="ru-RU" w:bidi="ru-RU"/>
        </w:rPr>
        <w:t xml:space="preserve">с </w:t>
      </w:r>
      <w:r>
        <w:rPr>
          <w:rFonts w:ascii="Arial" w:eastAsia="Arial" w:hAnsi="Arial" w:cs="Arial"/>
          <w:color w:val="6B6B6B"/>
          <w:spacing w:val="0"/>
          <w:w w:val="100"/>
          <w:position w:val="0"/>
          <w:sz w:val="12"/>
          <w:szCs w:val="12"/>
          <w:shd w:val="clear" w:color="auto" w:fill="auto"/>
          <w:lang w:val="ru-RU" w:eastAsia="ru-RU" w:bidi="ru-RU"/>
        </w:rPr>
        <w:t xml:space="preserve">11.01.2023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212121"/>
          <w:spacing w:val="0"/>
          <w:w w:val="100"/>
          <w:position w:val="0"/>
          <w:sz w:val="12"/>
          <w:szCs w:val="12"/>
          <w:shd w:val="clear" w:color="auto" w:fill="auto"/>
          <w:lang w:val="ru-RU" w:eastAsia="ru-RU" w:bidi="ru-RU"/>
        </w:rPr>
        <w:t>05.04.2024</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Кажушко Светлана Сергеевна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C4C4C"/>
          <w:spacing w:val="0"/>
          <w:w w:val="100"/>
          <w:position w:val="0"/>
          <w:sz w:val="12"/>
          <w:szCs w:val="12"/>
          <w:shd w:val="clear" w:color="auto" w:fill="auto"/>
          <w:lang w:val="ru-RU" w:eastAsia="ru-RU" w:bidi="ru-RU"/>
        </w:rPr>
        <w:t>140975008Е01СЕ086Е280850РА906274</w:t>
      </w:r>
    </w:p>
    <w:p>
      <w:pPr>
        <w:pStyle w:val="Style2"/>
        <w:keepNext w:val="0"/>
        <w:keepLines w:val="0"/>
        <w:widowControl w:val="0"/>
        <w:shd w:val="clear" w:color="auto" w:fill="auto"/>
        <w:bidi w:val="0"/>
        <w:spacing w:before="0" w:after="60" w:line="240" w:lineRule="auto"/>
        <w:ind w:left="31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4C4C4C"/>
          <w:spacing w:val="0"/>
          <w:w w:val="100"/>
          <w:position w:val="0"/>
          <w:sz w:val="12"/>
          <w:szCs w:val="12"/>
          <w:shd w:val="clear" w:color="auto" w:fill="auto"/>
          <w:lang w:val="ru-RU" w:eastAsia="ru-RU" w:bidi="ru-RU"/>
        </w:rPr>
        <w:t xml:space="preserve">с </w:t>
      </w:r>
      <w:r>
        <w:rPr>
          <w:rFonts w:ascii="Arial" w:eastAsia="Arial" w:hAnsi="Arial" w:cs="Arial"/>
          <w:color w:val="6B6B6B"/>
          <w:spacing w:val="0"/>
          <w:w w:val="100"/>
          <w:position w:val="0"/>
          <w:sz w:val="12"/>
          <w:szCs w:val="12"/>
          <w:shd w:val="clear" w:color="auto" w:fill="auto"/>
          <w:lang w:val="ru-RU" w:eastAsia="ru-RU" w:bidi="ru-RU"/>
        </w:rPr>
        <w:t>18.11.2022 по 11.02.2024</w:t>
      </w:r>
    </w:p>
    <w:sectPr>
      <w:footnotePr>
        <w:pos w:val="pageBottom"/>
        <w:numFmt w:val="decimal"/>
        <w:numRestart w:val="continuous"/>
      </w:footnotePr>
      <w:type w:val="continuous"/>
      <w:pgSz w:w="11900" w:h="16840"/>
      <w:pgMar w:top="1110" w:right="541" w:bottom="5014"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10027920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2023-3866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9.60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2023-3866</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2023-3866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10027920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2023-3866</w:t>
                          </w:r>
                        </w:p>
                      </w:txbxContent>
                    </wps:txbx>
                    <wps:bodyPr wrap="none" lIns="0" tIns="0" rIns="0" bIns="0">
                      <a:spAutoFit/>
                    </wps:bodyPr>
                  </wps:wsp>
                </a:graphicData>
              </a:graphic>
            </wp:anchor>
          </w:drawing>
        </mc:Choice>
        <mc:Fallback>
          <w:pict>
            <v:shape id="_x0000_s1033" type="#_x0000_t202" style="position:absolute;margin-left:56.850000000000001pt;margin-top:789.60000000000002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Заголовок №1"/>
    <w:basedOn w:val="Normal"/>
    <w:link w:val="CharStyle19"/>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24">
    <w:name w:val="Подпись к картинке"/>
    <w:basedOn w:val="Normal"/>
    <w:link w:val="CharStyle2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s>
</file>