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1о77@Га8.гоу.ги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4" w:val="left"/>
          <w:tab w:leader="underscore" w:pos="3931" w:val="left"/>
        </w:tabs>
        <w:bidi w:val="0"/>
        <w:spacing w:before="0" w:after="2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0800" cy="1765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«СПЕЦТОРГШИНА И К» 8сЫптк@Ьк.га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г. Москвы «Жилищник района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Строгино»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дЬи- 81годто @таП.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СЗАО»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дЬи- зйодто @таП.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«Московская Шинная Компания»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тзкк. 2012@таП.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2" w:right="1357" w:bottom="708" w:left="1144" w:header="0" w:footer="3" w:gutter="0"/>
          <w:pgNumType w:start="1"/>
          <w:cols w:num="2" w:space="720" w:equalWidth="0">
            <w:col w:w="4093" w:space="579"/>
            <w:col w:w="472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ко@го8е11огд.ги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2" w:right="0" w:bottom="9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077/06/106-ММ/3/2023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 077/06/106-ММ/3/2023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«СПЕЦТОРГШИНА И К» (далее — Заявитель) на действия ГБУ г. Москвы «Жилищник района Строгино» (далее—Заказчик) при проведении электронного аукциона на право заключения государственного контракта на поставку автомобильных шин и колес для техники ГБУ «Жилищник района Строгино» (Закупка № 0373200017323000168)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after="1158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444500</wp:posOffset>
            </wp:positionV>
            <wp:extent cx="1511935" cy="292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0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Аукционе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 077/06/106- ММ/3/2023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 077/06/106- ММ/3/2023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1о77@Та^.доу.1и.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077/06/106-ММ/3/2023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6041390</wp:posOffset>
                </wp:positionH>
                <wp:positionV relativeFrom="paragraph">
                  <wp:posOffset>12700</wp:posOffset>
                </wp:positionV>
                <wp:extent cx="1112520" cy="94805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48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5.69999999999999pt;margin-top:1.pt;width:87.600000000000009pt;height:74.65000000000000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92" w:right="528" w:bottom="925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9997440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87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804.5pt;width:57.399999999999999pt;height:7.850000000000000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381000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25pt;margin-top:30.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