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976630" simplePos="0" relativeHeight="125829378" behindDoc="0" locked="0" layoutInCell="1" allowOverlap="1">
            <wp:simplePos x="0" y="0"/>
            <wp:positionH relativeFrom="page">
              <wp:posOffset>1771650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276985" distL="312420" distR="114300" simplePos="0" relativeHeight="125829379" behindDoc="0" locked="0" layoutInCell="1" allowOverlap="1">
                <wp:simplePos x="0" y="0"/>
                <wp:positionH relativeFrom="page">
                  <wp:posOffset>918210</wp:posOffset>
                </wp:positionH>
                <wp:positionV relativeFrom="paragraph">
                  <wp:posOffset>728980</wp:posOffset>
                </wp:positionV>
                <wp:extent cx="2249170" cy="1353185"/>
                <wp:wrapSquare wrapText="right"/>
                <wp:docPr id="3" name="Shape 3"/>
                <a:graphic xmlns:a="http://schemas.openxmlformats.org/drawingml/2006/main">
                  <a:graphicData uri="http://schemas.microsoft.com/office/word/2010/wordprocessingShape">
                    <wps:wsp>
                      <wps:cNvSpPr txBox="1"/>
                      <wps:spPr>
                        <a:xfrm>
                          <a:ext cx="2249170" cy="1353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299999999999997pt;margin-top:57.399999999999999pt;width:177.09999999999999pt;height:106.55pt;z-index:-125829374;mso-wrap-distance-left:24.600000000000001pt;mso-wrap-distance-top:56.399999999999999pt;mso-wrap-distance-right:9.pt;mso-wrap-distance-bottom:100.55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v:textbox>
                <w10:wrap type="square" side="right" anchorx="page"/>
              </v:shape>
            </w:pict>
          </mc:Fallback>
        </mc:AlternateContent>
      </w:r>
      <w:r>
        <mc:AlternateContent>
          <mc:Choice Requires="wps">
            <w:drawing>
              <wp:anchor distT="2338070" distB="0" distL="114300" distR="1150620" simplePos="0" relativeHeight="125829381" behindDoc="0" locked="0" layoutInCell="1" allowOverlap="1">
                <wp:simplePos x="0" y="0"/>
                <wp:positionH relativeFrom="page">
                  <wp:posOffset>720090</wp:posOffset>
                </wp:positionH>
                <wp:positionV relativeFrom="paragraph">
                  <wp:posOffset>2350770</wp:posOffset>
                </wp:positionV>
                <wp:extent cx="1410970" cy="1009015"/>
                <wp:wrapSquare wrapText="right"/>
                <wp:docPr id="5" name="Shape 5"/>
                <a:graphic xmlns:a="http://schemas.openxmlformats.org/drawingml/2006/main">
                  <a:graphicData uri="http://schemas.microsoft.com/office/word/2010/wordprocessingShape">
                    <wps:wsp>
                      <wps:cNvSpPr txBox="1"/>
                      <wps:spPr>
                        <a:xfrm>
                          <a:ext cx="1410970" cy="1009015"/>
                        </a:xfrm>
                        <a:prstGeom prst="rect"/>
                        <a:noFill/>
                      </wps:spPr>
                      <wps:txbx>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893</w:t>
                            </w:r>
                          </w:p>
                        </w:txbxContent>
                      </wps:txbx>
                      <wps:bodyPr lIns="0" tIns="0" rIns="0" bIns="0">
                        <a:noAutoFit/>
                      </wps:bodyPr>
                    </wps:wsp>
                  </a:graphicData>
                </a:graphic>
              </wp:anchor>
            </w:drawing>
          </mc:Choice>
          <mc:Fallback>
            <w:pict>
              <v:shape id="_x0000_s1031" type="#_x0000_t202" style="position:absolute;margin-left:56.700000000000003pt;margin-top:185.09999999999999pt;width:111.10000000000001pt;height:79.450000000000003pt;z-index:-125829372;mso-wrap-distance-left:9.pt;mso-wrap-distance-top:184.09999999999999pt;mso-wrap-distance-right:90.600000000000009pt;mso-position-horizontal-relative:page" filled="f" stroked="f">
                <v:textbox inset="0,0,0,0">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893</w:t>
                      </w:r>
                    </w:p>
                  </w:txbxContent>
                </v:textbox>
                <w10:wrap type="square" side="right" anchorx="page"/>
              </v:shape>
            </w:pict>
          </mc:Fallback>
        </mc:AlternateContent>
      </w:r>
      <w:r>
        <w:drawing>
          <wp:anchor distT="25400" distB="0" distL="114300" distR="114300" simplePos="0" relativeHeight="125829383" behindDoc="0" locked="0" layoutInCell="1" allowOverlap="1">
            <wp:simplePos x="0" y="0"/>
            <wp:positionH relativeFrom="page">
              <wp:posOffset>711200</wp:posOffset>
            </wp:positionH>
            <wp:positionV relativeFrom="paragraph">
              <wp:posOffset>9259570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ФКУЗ "Медико-санитарная часть №26 Федеральной службы исполнения наказаний"</w:t>
      </w:r>
    </w:p>
    <w:p>
      <w:pPr>
        <w:pStyle w:val="Style11"/>
        <w:keepNext w:val="0"/>
        <w:keepLines w:val="0"/>
        <w:widowControl w:val="0"/>
        <w:shd w:val="clear" w:color="auto" w:fill="auto"/>
        <w:bidi w:val="0"/>
        <w:spacing w:before="0" w:after="280" w:line="240" w:lineRule="auto"/>
        <w:ind w:left="1260" w:right="0" w:firstLine="0"/>
        <w:jc w:val="left"/>
      </w:pPr>
      <w:r>
        <w:rPr>
          <w:color w:val="000000"/>
          <w:spacing w:val="0"/>
          <w:w w:val="100"/>
          <w:position w:val="0"/>
          <w:shd w:val="clear" w:color="auto" w:fill="auto"/>
          <w:lang w:val="ru-RU" w:eastAsia="ru-RU" w:bidi="ru-RU"/>
        </w:rPr>
        <w:t>355044, Ставропольский край, Ставрополь г, ул. Северный обход, д. 19 хакиркЕтск@26.Г8т.8и</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АО "ББ ГРУП"</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424005, РФ, РеспуБлика Марий Эл, г. Йошкар-Ола, ул. Тракт Сернурский д. 4, пом 10</w:t>
      </w:r>
    </w:p>
    <w:p>
      <w:pPr>
        <w:pStyle w:val="Style11"/>
        <w:keepNext w:val="0"/>
        <w:keepLines w:val="0"/>
        <w:widowControl w:val="0"/>
        <w:shd w:val="clear" w:color="auto" w:fill="auto"/>
        <w:bidi w:val="0"/>
        <w:spacing w:before="0" w:after="2160" w:line="240" w:lineRule="auto"/>
        <w:ind w:left="1260" w:right="0" w:firstLine="0"/>
        <w:jc w:val="left"/>
      </w:pPr>
      <w:r>
        <w:rPr>
          <w:color w:val="000000"/>
          <w:spacing w:val="0"/>
          <w:w w:val="100"/>
          <w:position w:val="0"/>
          <w:shd w:val="clear" w:color="auto" w:fill="auto"/>
          <w:lang w:val="ru-RU" w:eastAsia="ru-RU" w:bidi="ru-RU"/>
        </w:rPr>
        <w:t>аоЪЪдгир@дтай .сот</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026/06/106-893/2023</w:t>
        <w:br/>
        <w:t>о нарушении законодательства о закупках</w:t>
      </w:r>
    </w:p>
    <w:p>
      <w:pPr>
        <w:pStyle w:val="Style11"/>
        <w:keepNext w:val="0"/>
        <w:keepLines w:val="0"/>
        <w:widowControl w:val="0"/>
        <w:shd w:val="clear" w:color="auto" w:fill="auto"/>
        <w:tabs>
          <w:tab w:pos="8472" w:val="left"/>
        </w:tabs>
        <w:bidi w:val="0"/>
        <w:spacing w:before="0" w:after="280" w:line="240" w:lineRule="auto"/>
        <w:ind w:left="0" w:right="0" w:firstLine="0"/>
        <w:jc w:val="left"/>
      </w:pPr>
      <w:r>
        <w:rPr>
          <w:color w:val="000000"/>
          <w:spacing w:val="0"/>
          <w:w w:val="100"/>
          <w:position w:val="0"/>
          <w:shd w:val="clear" w:color="auto" w:fill="auto"/>
          <w:lang w:val="ru-RU" w:eastAsia="ru-RU" w:bidi="ru-RU"/>
        </w:rPr>
        <w:t>02.05.2023 года</w:t>
        <w:tab/>
        <w:t>г. Ставрополь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Врио заместителя начальника отдела контроля закупок Управления Федеральной антимонопольной службы по Ставропольскому краю Вишневской Е.В., 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Заказчика - Щербаков И.В.</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от АО «ББ Групп» - Мурашова Л.В.,</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 xml:space="preserve">В Ставропольское УФАС России поступила жалоба АО «ББ ГРУП» на </w:t>
      </w:r>
      <w:r>
        <w:rPr>
          <w:color w:val="000000"/>
          <w:spacing w:val="0"/>
          <w:w w:val="100"/>
          <w:position w:val="0"/>
          <w:shd w:val="clear" w:color="auto" w:fill="auto"/>
          <w:lang w:val="ru-RU" w:eastAsia="ru-RU" w:bidi="ru-RU"/>
        </w:rPr>
        <w:t>действия заказчика - ФКУЗ «Медико-санитарная часть № 26 Федеральной службы исполнения наказаний» по факту осуществления закупки путем проведения открытого аукциона № 0821100002623000038 «Закупка расходного медицинского имущества».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заказчика в части осуществления закупки.</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Представитель Заказчика пояснил, что все процедуры и действия по осуществлению вышеуказанной закупки были проведены в соответствии с требованиями Закона № 44-ФЗ.</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В ходе проведенной внеплановой проверки в соответствии со ст. 99 Федерального закона К 44-ФЗ «О контрактной системе в сфере закупок товаров, работ, услуг для обеспечения государственных и муниципальных нужд» (далее - Закон № 44-ФЗ) Комиссия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Заказчика в части формирования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Комиссия, рассмотрев доводы жалобы, проанализировав имеющиеся в деле документы, проведя в соответствии со ст. 99 Закона внеплановую проверку </w:t>
      </w:r>
      <w:r>
        <w:rPr>
          <w:color w:val="FF0000"/>
          <w:spacing w:val="0"/>
          <w:w w:val="100"/>
          <w:position w:val="0"/>
          <w:shd w:val="clear" w:color="auto" w:fill="auto"/>
          <w:lang w:val="ru-RU" w:eastAsia="ru-RU" w:bidi="ru-RU"/>
        </w:rPr>
        <w:t xml:space="preserve">закупки </w:t>
      </w: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части 1 статьи 1 Закона: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 ст.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2, ч. 3 ст. 42 Закона №44- 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описание объекта закупки в соответствии со </w:t>
      </w:r>
      <w:r>
        <w:rPr>
          <w:color w:val="0000FF"/>
          <w:spacing w:val="0"/>
          <w:w w:val="100"/>
          <w:position w:val="0"/>
          <w:shd w:val="clear" w:color="auto" w:fill="auto"/>
          <w:lang w:val="ru-RU" w:eastAsia="ru-RU" w:bidi="ru-RU"/>
        </w:rPr>
        <w:t xml:space="preserve">статьей 33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 xml:space="preserve">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Так комиссией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14.04.2023 г. в ЕИС заказчик разместил извещение о проведении открытого электронного аукциона № 0821100002623000038 на «закупку расходного медицинского имущества».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статьи 14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допуска указанных товаров, работ, услуг, включая минимальную обязательную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2.2 Постановления № 102 установлено: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для целей ограничения допуска отдельных видов медицинских изделий, происходящих из иностранных государств, </w:t>
      </w:r>
      <w:r>
        <w:rPr>
          <w:b/>
          <w:bCs/>
          <w:color w:val="000000"/>
          <w:spacing w:val="0"/>
          <w:w w:val="100"/>
          <w:position w:val="0"/>
          <w:shd w:val="clear" w:color="auto" w:fill="auto"/>
          <w:lang w:val="ru-RU" w:eastAsia="ru-RU" w:bidi="ru-RU"/>
        </w:rPr>
        <w:t>не могут быть предметом одного контракта (одного лота) медицинские изделия, включенные в перечень № 1 и не включенные в него.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утвержден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12 Постановления № 616 установлено: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для целей соблюдения запретов, установленных пунктами 1 и 2 настоящего постановления, </w:t>
      </w:r>
      <w:r>
        <w:rPr>
          <w:b/>
          <w:bCs/>
          <w:color w:val="000000"/>
          <w:spacing w:val="0"/>
          <w:w w:val="100"/>
          <w:position w:val="0"/>
          <w:shd w:val="clear" w:color="auto" w:fill="auto"/>
          <w:lang w:val="ru-RU" w:eastAsia="ru-RU" w:bidi="ru-RU"/>
        </w:rPr>
        <w:t xml:space="preserve">не могут быть предметом одного контракта (одного лота) промышленные товары, включенные в перечень и не включенные в него </w:t>
      </w:r>
      <w:r>
        <w:rPr>
          <w:color w:val="000000"/>
          <w:spacing w:val="0"/>
          <w:w w:val="100"/>
          <w:position w:val="0"/>
          <w:shd w:val="clear" w:color="auto" w:fill="auto"/>
          <w:lang w:val="ru-RU" w:eastAsia="ru-RU" w:bidi="ru-RU"/>
        </w:rPr>
        <w:t>(за исключением закупок промышленных товаров по государственному оборонному заказу).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электронного аукциона Заказчиком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Объекты закупки по позиции 1-2, 4-5 лота: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К2ЭДТА» - Код КТРУ 32.50.50.000-00000665 (Номенклатурная классификация медицинских изделий 293500),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«Пробирка вакуумная для взятия образцов крови ИВД, с активатором свертывания» - Код КТРУ 32.50.50.000-00001456 (Номенклатурная классификация медицинских изделий 293570),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«Пробирка вакуумная для взятия образцов крови ИВД, с К3ЭДТА» - Код КТРУ 32.50.50.000-00001118, 32.50.50.000-00001113 (Номенклатурная классификация медицинских изделий 293660) </w:t>
      </w:r>
      <w:r>
        <w:rPr>
          <w:b/>
          <w:bCs/>
          <w:color w:val="000000"/>
          <w:spacing w:val="0"/>
          <w:w w:val="100"/>
          <w:position w:val="0"/>
          <w:shd w:val="clear" w:color="auto" w:fill="auto"/>
          <w:lang w:val="ru-RU" w:eastAsia="ru-RU" w:bidi="ru-RU"/>
        </w:rPr>
        <w:t>включены в Перечень 1</w:t>
      </w:r>
      <w:r>
        <w:rPr>
          <w:color w:val="000000"/>
          <w:spacing w:val="0"/>
          <w:w w:val="100"/>
          <w:position w:val="0"/>
          <w:shd w:val="clear" w:color="auto" w:fill="auto"/>
          <w:lang w:val="ru-RU" w:eastAsia="ru-RU" w:bidi="ru-RU"/>
        </w:rPr>
        <w:t>, утвержденный Постановлением № 102.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Код ОКПД2 - 32.50.50.000 в Перечне 1 к Постановлению № 102 отсутствует на вид закупаемых медицинских изделий «Пробирка вакуумная для взятия образцов крови ИВД, с К2ЭДТА», «Пробирка вакуумная для взятия образцов крови ИВД, с активатором свертывания», «Пробирка вакуумная для взятия образцов крови ИВД, с К3ЭДТА».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необходимо отметить, что вышеуказанные КТРУ (32.50.50.000</w:t>
        <w:softHyphen/>
        <w:t xml:space="preserve">00000665, 32.50.50.000-00001456, 32.50.50.000-00001118, 32.50.50.000-00001113) содержат по 3 (три) кода ОКПД2, а именно 32.50.50.000 - Изделия медицинские, в том числе хирургические, прочие, </w:t>
      </w:r>
      <w:r>
        <w:rPr>
          <w:b/>
          <w:bCs/>
          <w:color w:val="000000"/>
          <w:spacing w:val="0"/>
          <w:w w:val="100"/>
          <w:position w:val="0"/>
          <w:shd w:val="clear" w:color="auto" w:fill="auto"/>
          <w:lang w:val="ru-RU" w:eastAsia="ru-RU" w:bidi="ru-RU"/>
        </w:rPr>
        <w:t>32.50.13.190 - Инструменты и приспособления, применяемые в медицинских целях, прочие, не включенные в другие группировки</w:t>
      </w:r>
      <w:r>
        <w:rPr>
          <w:color w:val="000000"/>
          <w:spacing w:val="0"/>
          <w:w w:val="100"/>
          <w:position w:val="0"/>
          <w:shd w:val="clear" w:color="auto" w:fill="auto"/>
          <w:lang w:val="ru-RU" w:eastAsia="ru-RU" w:bidi="ru-RU"/>
        </w:rPr>
        <w:t xml:space="preserve">, 32.50.50.190 - Изделия медицинские, в том числе хирургические, </w:t>
      </w:r>
      <w:r>
        <w:rPr>
          <w:color w:val="000000"/>
          <w:spacing w:val="0"/>
          <w:w w:val="100"/>
          <w:position w:val="0"/>
          <w:shd w:val="clear" w:color="auto" w:fill="auto"/>
          <w:lang w:val="ru-RU" w:eastAsia="ru-RU" w:bidi="ru-RU"/>
        </w:rPr>
        <w:t>прочие, не включенные в другие группировки.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смыслу пункта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заказчики обязаны применять всю информацию, включенную в соответствующую позицию каталога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Следовательно, в свою очередь вышеуказанные объекты закупки </w:t>
      </w:r>
      <w:r>
        <w:rPr>
          <w:b/>
          <w:bCs/>
          <w:color w:val="000000"/>
          <w:spacing w:val="0"/>
          <w:w w:val="100"/>
          <w:position w:val="0"/>
          <w:shd w:val="clear" w:color="auto" w:fill="auto"/>
          <w:lang w:val="ru-RU" w:eastAsia="ru-RU" w:bidi="ru-RU"/>
        </w:rPr>
        <w:t>включены в Перечень 1</w:t>
      </w:r>
      <w:r>
        <w:rPr>
          <w:color w:val="000000"/>
          <w:spacing w:val="0"/>
          <w:w w:val="100"/>
          <w:position w:val="0"/>
          <w:shd w:val="clear" w:color="auto" w:fill="auto"/>
          <w:lang w:val="ru-RU" w:eastAsia="ru-RU" w:bidi="ru-RU"/>
        </w:rPr>
        <w:t>, утвержденный Постановлением № 102 «Пробирки вакуумные для взятия венозной крови» соответствующие закупаемой заказчиком продукции по позициям 1-2, 4-5 лота.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Объект закупки по позиции 3 лота: «Пробирка вакуумная для взятия образцов крови ИВД, с натрия цитратом» - Код КТРУ 32.50.50.000-00000921 (Номенклатурная классификация медицинских изделий 293540) </w:t>
      </w:r>
      <w:r>
        <w:rPr>
          <w:b/>
          <w:bCs/>
          <w:color w:val="000000"/>
          <w:spacing w:val="0"/>
          <w:w w:val="100"/>
          <w:position w:val="0"/>
          <w:shd w:val="clear" w:color="auto" w:fill="auto"/>
          <w:lang w:val="ru-RU" w:eastAsia="ru-RU" w:bidi="ru-RU"/>
        </w:rPr>
        <w:t>включен в Перечень</w:t>
      </w:r>
      <w:r>
        <w:rPr>
          <w:color w:val="000000"/>
          <w:spacing w:val="0"/>
          <w:w w:val="100"/>
          <w:position w:val="0"/>
          <w:shd w:val="clear" w:color="auto" w:fill="auto"/>
          <w:lang w:val="ru-RU" w:eastAsia="ru-RU" w:bidi="ru-RU"/>
        </w:rPr>
        <w:t>, утвержденный Постановлением № 616.</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Код ОКПД2 - 32.50.50.000 в Перечне к Постановлению № 616 отсутствует на вид закупаемых медицинских изделий «Пробирка вакуумная для взятия образцов крови ИВД, с натрия цитратом».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необходимо отметить, что вышеуказанный КТРУ (32.50.50.000</w:t>
        <w:softHyphen/>
        <w:t xml:space="preserve">00000921) содержит 3 (три) кода ОКПД2, а именно 32.50.50.000 - Изделия медицинские, в том числе хирургические, прочие, </w:t>
      </w:r>
      <w:r>
        <w:rPr>
          <w:b/>
          <w:bCs/>
          <w:color w:val="000000"/>
          <w:spacing w:val="0"/>
          <w:w w:val="100"/>
          <w:position w:val="0"/>
          <w:shd w:val="clear" w:color="auto" w:fill="auto"/>
          <w:lang w:val="ru-RU" w:eastAsia="ru-RU" w:bidi="ru-RU"/>
        </w:rPr>
        <w:t>32.50.13.190 - Инструменты и приспособления, применяемые в медицинских целях, прочие, не включенные в другие группировки</w:t>
      </w:r>
      <w:r>
        <w:rPr>
          <w:color w:val="000000"/>
          <w:spacing w:val="0"/>
          <w:w w:val="100"/>
          <w:position w:val="0"/>
          <w:shd w:val="clear" w:color="auto" w:fill="auto"/>
          <w:lang w:val="ru-RU" w:eastAsia="ru-RU" w:bidi="ru-RU"/>
        </w:rPr>
        <w:t>, 32.50.50.190 - Изделия медицинские, в том числе хирургические, прочие, не включенные в другие группировки.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смыслу пункта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заказчики обязаны применять всю информацию, включенную в соответствующую позицию каталога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в свою очередь вышеуказанный объект закупки включен в Перечень, утвержденный Постановлением № 616 «Пробирки вакуумные для взятия образцов крови», соответствующий закупаемой заказчиком продукции по позиции 3 лота.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извещение об осуществлении закупки, а именно сам объект сформирован с нарушением требований Постановления Правительства № 102 от 05.02.2015 г. и Постановления Правительства № 616 от 30.04.2020 г.</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Медицинские изделия, включенные и не включенные в Перечень 1, утвержденный Постановлением № 102, включенные и не включенные в Перечень, утвержденный Постановлением № 616, должны закупаться в рамках отдельных закупок с установлением соответствующих ограничений и условий допуска в </w:t>
      </w:r>
      <w:r>
        <w:rPr>
          <w:color w:val="000000"/>
          <w:spacing w:val="0"/>
          <w:w w:val="100"/>
          <w:position w:val="0"/>
          <w:shd w:val="clear" w:color="auto" w:fill="auto"/>
          <w:lang w:val="ru-RU" w:eastAsia="ru-RU" w:bidi="ru-RU"/>
        </w:rPr>
        <w:t>соответствии со статьей 14 Закона о контрактной системе.</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Заказчиком допущены нарушения требований Постановления № 102 от 05.02.2015 г., Постановления 616 от 30.04.2020 г., статьи 14, части 1 статьи 42 Закона №44-ФЗ.</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 отметить, согласно п.</w:t>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3.33</w:t>
      </w:r>
      <w:r>
        <w:rPr>
          <w:color w:val="000000"/>
          <w:spacing w:val="0"/>
          <w:w w:val="100"/>
          <w:position w:val="0"/>
          <w:shd w:val="clear" w:color="auto" w:fill="auto"/>
          <w:lang w:val="ru-RU" w:eastAsia="ru-RU" w:bidi="ru-RU"/>
        </w:rPr>
        <w:t xml:space="preserve">. Приказа ФАС России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от 19.11.2014 К 727/14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b/>
          <w:bCs/>
          <w:color w:val="000000"/>
          <w:spacing w:val="0"/>
          <w:w w:val="100"/>
          <w:position w:val="0"/>
          <w:u w:val="single"/>
          <w:shd w:val="clear" w:color="auto" w:fill="auto"/>
          <w:lang w:val="ru-RU" w:eastAsia="ru-RU" w:bidi="ru-RU"/>
        </w:rPr>
        <w:t>на основании документов и сведений, представленных на заседание Комиссии.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случае, если член Комиссии не согласен с решением, он излагает письменно особое мнение. При </w:t>
      </w:r>
      <w:r>
        <w:rPr>
          <w:b/>
          <w:bCs/>
          <w:color w:val="000000"/>
          <w:spacing w:val="0"/>
          <w:w w:val="100"/>
          <w:position w:val="0"/>
          <w:u w:val="single"/>
          <w:shd w:val="clear" w:color="auto" w:fill="auto"/>
          <w:lang w:val="ru-RU" w:eastAsia="ru-RU" w:bidi="ru-RU"/>
        </w:rPr>
        <w:t>принятии решения учитываются обстоятельства дела, установленные Комиссией в результате рассмотрения жалобы и проведения внеплановой проверки.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 3.35 Административного регламента Федеральной антимонопольной службы от 19 ноября 2014 г. К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Комиссия, руководствуясь ст. 99 Закона № 44-ФЗ,</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Признать жалобу АО «ББ ГРУП» на действия заказчика - ФКУЗ «Медико</w:t>
        <w:softHyphen/>
        <w:t>санитарная часть № 26 Федеральной службы исполнения наказаний» по факту осуществления закупки путем проведения открытого аукциона № 0821100002623000038 «Закупка расходного медицинского имущества» - обоснованной.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2. В действиях Заказчика установлены нарушения требований Постановления № 102 от 05.02.2015 г., Постановления 616 от 30.04.2020 г., статьи 14, части 1 статьи 42 Закона №44-ФЗ, в связи с чем выдать обязательное для исполнения предписание.</w:t>
      </w:r>
    </w:p>
    <w:p>
      <w:pPr>
        <w:pStyle w:val="Style11"/>
        <w:keepNext w:val="0"/>
        <w:keepLines w:val="0"/>
        <w:widowControl w:val="0"/>
        <w:shd w:val="clear" w:color="auto" w:fill="auto"/>
        <w:bidi w:val="0"/>
        <w:spacing w:before="0" w:after="780" w:line="240" w:lineRule="auto"/>
        <w:ind w:left="0" w:right="0" w:firstLine="720"/>
        <w:jc w:val="left"/>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60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6232525</wp:posOffset>
                </wp:positionH>
                <wp:positionV relativeFrom="paragraph">
                  <wp:posOffset>12700</wp:posOffset>
                </wp:positionV>
                <wp:extent cx="902335" cy="247015"/>
                <wp:wrapSquare wrapText="left"/>
                <wp:docPr id="9" name="Shape 9"/>
                <a:graphic xmlns:a="http://schemas.openxmlformats.org/drawingml/2006/main">
                  <a:graphicData uri="http://schemas.microsoft.com/office/word/2010/wordprocessingShape">
                    <wps:wsp>
                      <wps:cNvSpPr txBox="1"/>
                      <wps:spPr>
                        <a:xfrm>
                          <a:ext cx="902335"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35" type="#_x0000_t202" style="position:absolute;margin-left:490.75pt;margin-top:1.pt;width:71.049999999999997pt;height:19.449999999999999pt;z-index:-125829369;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Е.В. Вишневская</w:t>
      </w:r>
    </w:p>
    <w:p>
      <w:pPr>
        <w:pStyle w:val="Style11"/>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10000" w:line="240" w:lineRule="auto"/>
        <w:ind w:left="0" w:right="0" w:firstLine="0"/>
        <w:jc w:val="right"/>
      </w:pPr>
      <w:r>
        <w:rPr>
          <w:color w:val="000000"/>
          <w:spacing w:val="0"/>
          <w:w w:val="100"/>
          <w:position w:val="0"/>
          <w:shd w:val="clear" w:color="auto" w:fill="auto"/>
          <w:lang w:val="ru-RU" w:eastAsia="ru-RU" w:bidi="ru-RU"/>
        </w:rPr>
        <w:t>Б. Ш. Карпель</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тел.(8652) 35-28-07, вн.026-285</w:t>
      </w:r>
    </w:p>
    <w:sectPr>
      <w:footerReference w:type="default" r:id="rId9"/>
      <w:footerReference w:type="first" r:id="rId10"/>
      <w:footnotePr>
        <w:pos w:val="pageBottom"/>
        <w:numFmt w:val="decimal"/>
        <w:numRestart w:val="continuous"/>
      </w:footnotePr>
      <w:pgSz w:w="11900" w:h="16840"/>
      <w:pgMar w:top="1087" w:right="530" w:bottom="1253" w:left="1103"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9999345</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2023-5190</w:t>
                          </w:r>
                        </w:p>
                      </w:txbxContent>
                    </wps:txbx>
                    <wps:bodyPr wrap="none" lIns="0" tIns="0" rIns="0" bIns="0">
                      <a:spAutoFit/>
                    </wps:bodyPr>
                  </wps:wsp>
                </a:graphicData>
              </a:graphic>
            </wp:anchor>
          </w:drawing>
        </mc:Choice>
        <mc:Fallback>
          <w:pict>
            <v:shape id="_x0000_s1037" type="#_x0000_t202" style="position:absolute;margin-left:57.050000000000004pt;margin-top:787.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2023-5190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9961245</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2023-5190</w:t>
                          </w:r>
                        </w:p>
                      </w:txbxContent>
                    </wps:txbx>
                    <wps:bodyPr wrap="none" lIns="0" tIns="0" rIns="0" bIns="0">
                      <a:spAutoFit/>
                    </wps:bodyPr>
                  </wps:wsp>
                </a:graphicData>
              </a:graphic>
            </wp:anchor>
          </w:drawing>
        </mc:Choice>
        <mc:Fallback>
          <w:pict>
            <v:shape id="_x0000_s1039" type="#_x0000_t202" style="position:absolute;margin-left:56.700000000000003pt;margin-top:784.35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1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Основной текст (4)"/>
    <w:basedOn w:val="Normal"/>
    <w:link w:val="CharStyle9"/>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