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1779270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727710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300000000000004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730885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727710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300000000000004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Акционерное общество «ББ ГРУП» 424005, Республика Марий Эл, г. Йошкар-Ола, ул. Тракт Сернурский, д.</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4, пом. 10</w:t>
      </w:r>
    </w:p>
    <w:p>
      <w:pPr>
        <w:pStyle w:val="Style10"/>
        <w:keepNext w:val="0"/>
        <w:keepLines w:val="0"/>
        <w:widowControl w:val="0"/>
        <w:shd w:val="clear" w:color="auto" w:fill="auto"/>
        <w:bidi w:val="0"/>
        <w:spacing w:before="0" w:after="280" w:line="240" w:lineRule="auto"/>
        <w:ind w:left="1000" w:right="0" w:firstLine="0"/>
        <w:jc w:val="left"/>
      </w:pPr>
      <w:r>
        <w:rPr>
          <w:color w:val="000000"/>
          <w:spacing w:val="0"/>
          <w:w w:val="100"/>
          <w:position w:val="0"/>
          <w:shd w:val="clear" w:color="auto" w:fill="auto"/>
          <w:lang w:val="ru-RU" w:eastAsia="ru-RU" w:bidi="ru-RU"/>
        </w:rPr>
        <w:t>аоЪЪдгир@дтай.сот</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Государственное бюджетное учреждение «Межрайонная больница № 4»</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641040, Курганская область, Мишкинский р-н, р.п Мишкино, ул Заводская, д. 2</w:t>
      </w:r>
    </w:p>
    <w:p>
      <w:pPr>
        <w:pStyle w:val="Style10"/>
        <w:keepNext w:val="0"/>
        <w:keepLines w:val="0"/>
        <w:widowControl w:val="0"/>
        <w:shd w:val="clear" w:color="auto" w:fill="auto"/>
        <w:bidi w:val="0"/>
        <w:spacing w:before="0" w:after="3200" w:line="240" w:lineRule="auto"/>
        <w:ind w:left="0" w:right="0" w:firstLine="1000"/>
        <w:jc w:val="left"/>
      </w:pPr>
      <w:r>
        <w:rPr>
          <w:color w:val="000000"/>
          <w:spacing w:val="0"/>
          <w:w w:val="100"/>
          <w:position w:val="0"/>
          <w:shd w:val="clear" w:color="auto" w:fill="auto"/>
          <w:lang w:val="ru-RU" w:eastAsia="ru-RU" w:bidi="ru-RU"/>
        </w:rPr>
        <w:t>т^8Ъс^Ъ@та^1.^и</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045/06/106-229/2023</w:t>
      </w:r>
      <w:bookmarkEnd w:id="0"/>
    </w:p>
    <w:p>
      <w:pPr>
        <w:pStyle w:val="Style15"/>
        <w:keepNext/>
        <w:keepLines/>
        <w:widowControl w:val="0"/>
        <w:shd w:val="clear" w:color="auto" w:fill="auto"/>
        <w:bidi w:val="0"/>
        <w:spacing w:before="0" w:line="240" w:lineRule="auto"/>
        <w:ind w:left="4580" w:right="0" w:hanging="3580"/>
        <w:jc w:val="left"/>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10"/>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6482080</wp:posOffset>
                </wp:positionH>
                <wp:positionV relativeFrom="paragraph">
                  <wp:posOffset>12700</wp:posOffset>
                </wp:positionV>
                <wp:extent cx="701040" cy="250190"/>
                <wp:wrapSquare wrapText="left"/>
                <wp:docPr id="9" name="Shape 9"/>
                <a:graphic xmlns:a="http://schemas.openxmlformats.org/drawingml/2006/main">
                  <a:graphicData uri="http://schemas.microsoft.com/office/word/2010/wordprocessingShape">
                    <wps:wsp>
                      <wps:cNvSpPr txBox="1"/>
                      <wps:spPr>
                        <a:xfrm>
                          <a:ext cx="70104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5" type="#_x0000_t202" style="position:absolute;margin-left:510.40000000000003pt;margin-top:1.pt;width:55.200000000000003pt;height:19.699999999999999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03.05.2023 г.</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5"/>
        <w:keepNext/>
        <w:keepLines/>
        <w:widowControl w:val="0"/>
        <w:shd w:val="clear" w:color="auto" w:fill="auto"/>
        <w:bidi w:val="0"/>
        <w:spacing w:before="0" w:after="0" w:line="240" w:lineRule="auto"/>
        <w:ind w:left="0" w:right="0" w:firstLine="740"/>
        <w:jc w:val="both"/>
      </w:pPr>
      <w:bookmarkStart w:id="3" w:name="bookmark3"/>
      <w:r>
        <w:rPr>
          <w:color w:val="000000"/>
          <w:spacing w:val="0"/>
          <w:w w:val="100"/>
          <w:position w:val="0"/>
          <w:shd w:val="clear" w:color="auto" w:fill="auto"/>
          <w:lang w:val="ru-RU" w:eastAsia="ru-RU" w:bidi="ru-RU"/>
        </w:rPr>
        <w:t>Члены Комиссии:</w:t>
      </w:r>
      <w:bookmarkEnd w:id="3"/>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140" w:line="240" w:lineRule="auto"/>
        <w:ind w:left="0" w:right="0" w:firstLine="740"/>
        <w:jc w:val="both"/>
      </w:pPr>
      <w:r>
        <w:rPr>
          <w:color w:val="000000"/>
          <w:spacing w:val="0"/>
          <w:w w:val="100"/>
          <w:position w:val="0"/>
          <w:shd w:val="clear" w:color="auto" w:fill="auto"/>
          <w:lang w:val="ru-RU" w:eastAsia="ru-RU" w:bidi="ru-RU"/>
        </w:rPr>
        <w:t>Голуб А.А. - специалист 1 разряда Управления Федеральной антимонопольной службы по Курганской области,</w:t>
      </w:r>
    </w:p>
    <w:p>
      <w:pPr>
        <w:pStyle w:val="Style18"/>
        <w:keepNext/>
        <w:keepLines/>
        <w:widowControl w:val="0"/>
        <w:shd w:val="clear" w:color="auto" w:fill="auto"/>
        <w:bidi w:val="0"/>
        <w:spacing w:before="0" w:line="240" w:lineRule="auto"/>
        <w:ind w:left="0" w:right="0" w:firstLine="0"/>
        <w:jc w:val="left"/>
      </w:pPr>
      <w:bookmarkStart w:id="5" w:name="bookmark5"/>
      <w:r>
        <w:rPr>
          <w:color w:val="000000"/>
          <w:spacing w:val="0"/>
          <w:w w:val="100"/>
          <w:position w:val="0"/>
          <w:shd w:val="clear" w:color="auto" w:fill="auto"/>
          <w:lang w:val="ru-RU" w:eastAsia="ru-RU" w:bidi="ru-RU"/>
        </w:rPr>
        <w:t>111111111111III111111111</w:t>
      </w:r>
      <w:bookmarkEnd w:id="5"/>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представителя Заказчика - Государственного бюджетного учреждения «Межрайонная больница № 4» (далее - ГБУ «Межрайонная больница № 4», Заказчик) -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ходатайств о рассмотрении жалобы в отсутствие представителя не поступало,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 Общества с ограниченной ответственностью «ББ ГРУП» (далее - ООО «ББ ГРУП»,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ходатайств о рассмотрении жалобы в отсутствие представителя не поступало,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«ББ ГРУП» на действия Заказчика - ГБУ «Межрайонная больница № 4» при осуществлении закупки путем проведения электронного аукциона на поставку расходных материалов для лаборатории (извещение № 0343200025023000044),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5"/>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УСТАНОВИЛА:</w:t>
      </w:r>
      <w:bookmarkEnd w:id="7"/>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26.04.2023 г. в Курганское УФАС России поступила жалоба ООО «ББ ГРУП» (Рег. Номер 1722-ЭП/23) на действия Заказчика - ГБУ «Межрайонная больница № 4» при осуществлении закупки путем проведения электронного аукциона на поставку расходных материалов для лаборатории (извещение № 0343200025023000044).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 мнению Заявителя жалобы, Заказчиком в рамках рассматриваемого аукциона сформирован лот с нарушением действующего законодательства о контрактной системе, а именно с нарушением требований, предусмотренных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w:t>
      </w:r>
      <w:r>
        <w:rPr>
          <w:color w:val="000000"/>
          <w:spacing w:val="0"/>
          <w:w w:val="100"/>
          <w:position w:val="0"/>
          <w:shd w:val="clear" w:color="auto" w:fill="auto"/>
          <w:lang w:val="ru-RU" w:eastAsia="ru-RU" w:bidi="ru-RU"/>
        </w:rPr>
        <w:t>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 616) и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102).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медицинские изделия включенные и не включенные в Перечень 1, утвержденный постановлением Правительства РФ № 102, включенные и не включенные в Перечень, утвержденный постановлением Правительства РФ № 616, должны закупаться в рамках отдельных закупок с установлением соответствующих ограничений и условий допуска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приостановить проведение закупки; провести проверку; выдать предписание об устранении выявленных нарушений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в материалы дела представил документы и сведения, запрашиваемые уведомлением исх. № АИ/1105/23 от 27.04.2023 г. Свою позицию, относительно доводов жалобы не представил.</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административным регламентом по рассмотрению жалоб, утвержденным приказом Федеральной антимонопольной службы России от 19.11.2014 г. № 727/14, ст.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17.04.2023 г. в ЕИС опубликовано извещение о проведении электронного аукциона на поставку расходных материалов для лаборатории (извещение № 0343200025023000044).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270 000 рублей 00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ГБУ «Межрайонная больница № 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 Заявителя, изложенный в жалобе, а также документы, представленные уполномоченным учреждением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w:t>
      </w:r>
      <w:r>
        <w:rPr>
          <w:color w:val="000000"/>
          <w:spacing w:val="0"/>
          <w:w w:val="100"/>
          <w:position w:val="0"/>
          <w:shd w:val="clear" w:color="auto" w:fill="auto"/>
          <w:lang w:val="ru-RU" w:eastAsia="ru-RU" w:bidi="ru-RU"/>
        </w:rPr>
        <w:t>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w:t>
      </w:r>
      <w:r>
        <w:rPr>
          <w:color w:val="000000"/>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w:t>
      </w:r>
      <w:r>
        <w:rPr>
          <w:color w:val="000000"/>
          <w:spacing w:val="0"/>
          <w:w w:val="100"/>
          <w:position w:val="0"/>
          <w:shd w:val="clear" w:color="auto" w:fill="auto"/>
          <w:lang w:val="ru-RU" w:eastAsia="ru-RU" w:bidi="ru-RU"/>
        </w:rPr>
        <w:t>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Согласно</w:t>
      </w:r>
      <w:r>
        <w:rPr>
          <w:color w:val="000000"/>
          <w:spacing w:val="0"/>
          <w:w w:val="100"/>
          <w:position w:val="0"/>
          <w:shd w:val="clear" w:color="auto" w:fill="auto"/>
          <w:lang w:val="ru-RU" w:eastAsia="ru-RU" w:bidi="ru-RU"/>
        </w:rPr>
        <w:t xml:space="preserve"> пункту 15 части 1 статьи 42 </w:t>
      </w:r>
      <w:r>
        <w:rPr>
          <w:color w:val="000000"/>
          <w:spacing w:val="0"/>
          <w:w w:val="100"/>
          <w:position w:val="0"/>
          <w:shd w:val="clear" w:color="auto" w:fill="auto"/>
          <w:lang w:val="ru-RU" w:eastAsia="ru-RU" w:bidi="ru-RU"/>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w:t>
      </w:r>
      <w:r>
        <w:rPr>
          <w:color w:val="000000"/>
          <w:spacing w:val="0"/>
          <w:w w:val="100"/>
          <w:position w:val="0"/>
          <w:shd w:val="clear" w:color="auto" w:fill="auto"/>
          <w:lang w:val="ru-RU" w:eastAsia="ru-RU" w:bidi="ru-RU"/>
        </w:rPr>
        <w:t xml:space="preserve">пункту 2 части 29 статьи 34 </w:t>
      </w:r>
      <w:r>
        <w:rPr>
          <w:color w:val="000000"/>
          <w:spacing w:val="0"/>
          <w:w w:val="100"/>
          <w:position w:val="0"/>
          <w:shd w:val="clear" w:color="auto" w:fill="auto"/>
          <w:lang w:val="ru-RU" w:eastAsia="ru-RU" w:bidi="ru-RU"/>
        </w:rPr>
        <w:t>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постановления Правительства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утвержденный постановлением Правительства РФ № 102).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2(2) постановления Правительства РФ № 102 установлено,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пунктом 1 постановления Правительства РФ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 утвержденный постановлением Правительства РФ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12 постановления Правительства РФ № 616 установлено, что для целей соблюдения запретов, установленных пунктом 1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Заказчиком в извещении о проведении электронного аукциона установлены условия допуска товаров, происходящих из иностранного государства или группы иностранных государств, предусмотренные приказом Минфина России от 04.06.2018 № 126н «Об условиях допуска товаров, происходящих из иностранного государства </w:t>
      </w:r>
      <w:r>
        <w:rPr>
          <w:color w:val="000000"/>
          <w:spacing w:val="0"/>
          <w:w w:val="100"/>
          <w:position w:val="0"/>
          <w:shd w:val="clear" w:color="auto" w:fill="auto"/>
          <w:lang w:val="ru-RU" w:eastAsia="ru-RU" w:bidi="ru-RU"/>
        </w:rPr>
        <w:t>или группы иностранных государств, для целей осуществления закупок товаров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положений Описания объекта закупки, размещенного в составе извещения о проведении электронного аукциона, Заказчиком закупаются следующие товары:</w:t>
      </w:r>
    </w:p>
    <w:p>
      <w:pPr>
        <w:pStyle w:val="Style10"/>
        <w:keepNext w:val="0"/>
        <w:keepLines w:val="0"/>
        <w:widowControl w:val="0"/>
        <w:numPr>
          <w:ilvl w:val="0"/>
          <w:numId w:val="1"/>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К3ЭДТА» позиция КТРУ - 32.50.50.000-00001106.</w:t>
      </w:r>
    </w:p>
    <w:p>
      <w:pPr>
        <w:pStyle w:val="Style10"/>
        <w:keepNext w:val="0"/>
        <w:keepLines w:val="0"/>
        <w:widowControl w:val="0"/>
        <w:numPr>
          <w:ilvl w:val="0"/>
          <w:numId w:val="1"/>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натрия цитратом» позиция КТРУ - 32.50.50.000-00002363.</w:t>
      </w:r>
    </w:p>
    <w:p>
      <w:pPr>
        <w:pStyle w:val="Style10"/>
        <w:keepNext w:val="0"/>
        <w:keepLines w:val="0"/>
        <w:widowControl w:val="0"/>
        <w:numPr>
          <w:ilvl w:val="0"/>
          <w:numId w:val="1"/>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для сбора образцов крови не вакуумная ИВД, с 1&lt;21-’1)ТА» позиция КТРУ - 32.50.50.000-00000420.</w:t>
      </w:r>
    </w:p>
    <w:p>
      <w:pPr>
        <w:pStyle w:val="Style10"/>
        <w:keepNext w:val="0"/>
        <w:keepLines w:val="0"/>
        <w:widowControl w:val="0"/>
        <w:numPr>
          <w:ilvl w:val="0"/>
          <w:numId w:val="1"/>
        </w:numPr>
        <w:shd w:val="clear" w:color="auto" w:fill="auto"/>
        <w:tabs>
          <w:tab w:pos="106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«Микропробирка микроцентрифужная» позиция КТРУ - 32.50.50.190</w:t>
        <w:softHyphen/>
        <w:t>00001645.</w:t>
      </w:r>
    </w:p>
    <w:p>
      <w:pPr>
        <w:pStyle w:val="Style10"/>
        <w:keepNext w:val="0"/>
        <w:keepLines w:val="0"/>
        <w:widowControl w:val="0"/>
        <w:numPr>
          <w:ilvl w:val="0"/>
          <w:numId w:val="1"/>
        </w:numPr>
        <w:shd w:val="clear" w:color="auto" w:fill="auto"/>
        <w:tabs>
          <w:tab w:pos="17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«Микропробирка микроцентрифужная».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Описанием объекта закупки заказчиком в отношении позиций № 1, 2, 3 закупаемых товаров указан код ОКПД2</w:t>
      </w:r>
      <w:r>
        <w:rPr>
          <w:color w:val="000000"/>
          <w:spacing w:val="0"/>
          <w:w w:val="100"/>
          <w:position w:val="0"/>
          <w:shd w:val="clear" w:color="auto" w:fill="auto"/>
          <w:lang w:val="ru-RU" w:eastAsia="ru-RU" w:bidi="ru-RU"/>
        </w:rPr>
        <w:t xml:space="preserve"> 32.50.50.000</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считает необходимым отметить, что</w:t>
      </w:r>
      <w:r>
        <w:rPr>
          <w:color w:val="000000"/>
          <w:spacing w:val="0"/>
          <w:w w:val="100"/>
          <w:position w:val="0"/>
          <w:shd w:val="clear" w:color="auto" w:fill="auto"/>
          <w:lang w:val="ru-RU" w:eastAsia="ru-RU" w:bidi="ru-RU"/>
        </w:rPr>
        <w:t xml:space="preserve"> код 32.50.50.000 </w:t>
      </w:r>
      <w:r>
        <w:rPr>
          <w:color w:val="000000"/>
          <w:spacing w:val="0"/>
          <w:w w:val="100"/>
          <w:position w:val="0"/>
          <w:shd w:val="clear" w:color="auto" w:fill="auto"/>
          <w:lang w:val="ru-RU" w:eastAsia="ru-RU" w:bidi="ru-RU"/>
        </w:rPr>
        <w:t xml:space="preserve">исключен из общероссийского классификатора с 1 января 2021 года (изменение 33/2018 ОКПД 2, утв. </w:t>
      </w:r>
      <w:r>
        <w:rPr>
          <w:color w:val="000000"/>
          <w:spacing w:val="0"/>
          <w:w w:val="100"/>
          <w:position w:val="0"/>
          <w:shd w:val="clear" w:color="auto" w:fill="auto"/>
          <w:lang w:val="ru-RU" w:eastAsia="ru-RU" w:bidi="ru-RU"/>
        </w:rPr>
        <w:t>Приказом</w:t>
      </w:r>
      <w:r>
        <w:rPr>
          <w:color w:val="000000"/>
          <w:spacing w:val="0"/>
          <w:w w:val="100"/>
          <w:position w:val="0"/>
          <w:shd w:val="clear" w:color="auto" w:fill="auto"/>
          <w:lang w:val="ru-RU" w:eastAsia="ru-RU" w:bidi="ru-RU"/>
        </w:rPr>
        <w:t xml:space="preserve"> Росстандарта от 29.12.2018 К 1190-ст).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информации, содержащейся в единой информационной системе 11Пр^///а1&lt;ир1&lt;1.до\\111. товары, указанные в выбранных Заказчиком позициях каталога КТРУ 32.50.50.000-00001106 «Пробирка вакуумная для взятия образцов крови ИВД, с К3ЭДТА», 32.50.50.000-00000420 «Пробирка для сбора образцов крови не вакуумная ИВД, с 1&lt;21-’1)ТА» (позиции товаров № 1, 3), помимо кода ОКПД2 32.50.50.000, исключенного из общероссийского классификатора, имеют коды ОКПД3 32.50.13.190, 32.50.50.190, а также коды вида медицинского изделия в соответствии с номенклатурной классификацией медицинских изделий 293660, 167490 соответственно.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код ОКПД2 32.50.13.190 включен в Перечень, утвержденный постановлением Правительства РФ № 102, а также в данном перечне приведено наименование вида медицинского изделия «емкости для взятия, хранения и транспортировки биологических проб для выполнения клинических лабораторных исследований, включая пробирки вакуумные для взятия венозной крови, пробирки для взятия капиллярной крови, емкости для мочи, кала и мокроты», соответствующее закупаемой заказчиком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указанные пробирки с кодом 32.50.13.190 включены в утвержденный постановлением Правительства РФ № 102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изложенного, товары по позициям № 1, 3 Описания объекта закупки включены в перечень, утвержденный постановлением Правительства РФ № 102.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Кроме того, Комиссией установлено, что позиция КТРУ 32.50.50.000-00002363 «Пробирка вакуумная для взятия образцов крови ИВД, с натрия цитратом» (позиция </w:t>
      </w:r>
      <w:r>
        <w:rPr>
          <w:color w:val="000000"/>
          <w:spacing w:val="0"/>
          <w:w w:val="100"/>
          <w:position w:val="0"/>
          <w:shd w:val="clear" w:color="auto" w:fill="auto"/>
          <w:lang w:val="ru-RU" w:eastAsia="ru-RU" w:bidi="ru-RU"/>
        </w:rPr>
        <w:t>товара № 2) помимо кода ОКПД2 32.50.50.000, исключенного из общероссийского классификатора, имеют коды ОКПД3 32.50.13.190, 32.50.50.190.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Необходимо также отметить, что вышеуказанная позиция КТРУ имеет номенклатурную классификацию медицинских изделий по видам - </w:t>
      </w:r>
      <w:r>
        <w:rPr>
          <w:color w:val="000000"/>
          <w:spacing w:val="0"/>
          <w:w w:val="100"/>
          <w:position w:val="0"/>
          <w:u w:val="single"/>
          <w:shd w:val="clear" w:color="auto" w:fill="auto"/>
          <w:lang w:val="ru-RU" w:eastAsia="ru-RU" w:bidi="ru-RU"/>
        </w:rPr>
        <w:t xml:space="preserve">293540 </w:t>
      </w:r>
      <w:r>
        <w:rPr>
          <w:color w:val="000000"/>
          <w:spacing w:val="0"/>
          <w:w w:val="100"/>
          <w:position w:val="0"/>
          <w:shd w:val="clear" w:color="auto" w:fill="auto"/>
          <w:lang w:val="ru-RU" w:eastAsia="ru-RU" w:bidi="ru-RU"/>
        </w:rPr>
        <w:t>«Пробирка вакуумная для взятия образцов крови ИВД, с натрия цитратом».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свою очередь коды ОКПД2 32.50.13.190 и 32.50.50.190 включены в Перечень, утвержденный постановлением Правительства РФ № 616, а также в данном перечне приведено наименование вида медицинского изделия «Пробирки вакуумные для взятия образцов крови ИВД, соответствующие кодам вида медицинского изделия в соответствии с номенклатурной классификацией медицинских изделий - 293640; 293630; 293700; 293780; </w:t>
      </w:r>
      <w:r>
        <w:rPr>
          <w:color w:val="000000"/>
          <w:spacing w:val="0"/>
          <w:w w:val="100"/>
          <w:position w:val="0"/>
          <w:u w:val="single"/>
          <w:shd w:val="clear" w:color="auto" w:fill="auto"/>
          <w:lang w:val="ru-RU" w:eastAsia="ru-RU" w:bidi="ru-RU"/>
        </w:rPr>
        <w:t>293540</w:t>
      </w:r>
      <w:r>
        <w:rPr>
          <w:color w:val="000000"/>
          <w:spacing w:val="0"/>
          <w:w w:val="100"/>
          <w:position w:val="0"/>
          <w:shd w:val="clear" w:color="auto" w:fill="auto"/>
          <w:lang w:val="ru-RU" w:eastAsia="ru-RU" w:bidi="ru-RU"/>
        </w:rPr>
        <w:t>; 293760; 293480; 293400 &lt;*&gt;» (пункт 147), соответствующее закупаемой Заказчиком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Дополнительно под знаком &lt;*&gt; установлено, что при применении настоящего перечня в отношении товара, указанного в</w:t>
      </w:r>
      <w:r>
        <w:rPr>
          <w:color w:val="000000"/>
          <w:spacing w:val="0"/>
          <w:w w:val="100"/>
          <w:position w:val="0"/>
          <w:shd w:val="clear" w:color="auto" w:fill="auto"/>
          <w:lang w:val="ru-RU" w:eastAsia="ru-RU" w:bidi="ru-RU"/>
        </w:rPr>
        <w:t xml:space="preserve"> пункте 147</w:t>
      </w:r>
      <w:r>
        <w:rPr>
          <w:color w:val="000000"/>
          <w:spacing w:val="0"/>
          <w:w w:val="100"/>
          <w:position w:val="0"/>
          <w:shd w:val="clear" w:color="auto" w:fill="auto"/>
          <w:lang w:val="ru-RU" w:eastAsia="ru-RU" w:bidi="ru-RU"/>
        </w:rPr>
        <w:t xml:space="preserve">, следует руководствоваться как кодом в соответствии с Общероссийским </w:t>
      </w:r>
      <w:r>
        <w:rPr>
          <w:color w:val="000000"/>
          <w:spacing w:val="0"/>
          <w:w w:val="100"/>
          <w:position w:val="0"/>
          <w:shd w:val="clear" w:color="auto" w:fill="auto"/>
          <w:lang w:val="ru-RU" w:eastAsia="ru-RU" w:bidi="ru-RU"/>
        </w:rPr>
        <w:t xml:space="preserve">классификатором </w:t>
      </w:r>
      <w:r>
        <w:rPr>
          <w:color w:val="000000"/>
          <w:spacing w:val="0"/>
          <w:w w:val="100"/>
          <w:position w:val="0"/>
          <w:shd w:val="clear" w:color="auto" w:fill="auto"/>
          <w:lang w:val="ru-RU" w:eastAsia="ru-RU" w:bidi="ru-RU"/>
        </w:rPr>
        <w:t>продукции по видам экономической деятельности (ОКПД 2), так и кодом вида медицинского изделия в соответствии с номенклатурной классификацией медицинских изделий, утвержденной приказом Министерства здравоохранения Российской Федерации (НКМИ).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товар по позиции № 2 Описания объекта закупки включен в перечень, утвержденный постановлением Правительства РФ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Комиссией установлено, что товары по позициям № 4, 5 Описания объекта закупки не включены в Перечни, утвержденные постановлениями Правительства РФ № 102 и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вышеизложенного, товары, закупаемые Заказчиком при проведении рассматриваемого электронного аукциона, не могут быть предметом одного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допущены нарушения</w:t>
      </w:r>
      <w:r>
        <w:rPr>
          <w:color w:val="000000"/>
          <w:spacing w:val="0"/>
          <w:w w:val="100"/>
          <w:position w:val="0"/>
          <w:shd w:val="clear" w:color="auto" w:fill="auto"/>
          <w:lang w:val="ru-RU" w:eastAsia="ru-RU" w:bidi="ru-RU"/>
        </w:rPr>
        <w:t xml:space="preserve"> части 3 статьи 14</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пункта 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части 29 статьи 34</w:t>
      </w:r>
      <w:r>
        <w:rPr>
          <w:color w:val="000000"/>
          <w:spacing w:val="0"/>
          <w:w w:val="100"/>
          <w:position w:val="0"/>
          <w:shd w:val="clear" w:color="auto" w:fill="auto"/>
          <w:lang w:val="ru-RU" w:eastAsia="ru-RU" w:bidi="ru-RU"/>
        </w:rPr>
        <w:t xml:space="preserve">, пункта 15 части 1 статьи 42 Закона о контрактной системе, </w:t>
      </w:r>
      <w:r>
        <w:rPr>
          <w:color w:val="000000"/>
          <w:spacing w:val="0"/>
          <w:w w:val="100"/>
          <w:position w:val="0"/>
          <w:shd w:val="clear" w:color="auto" w:fill="auto"/>
          <w:lang w:val="ru-RU" w:eastAsia="ru-RU" w:bidi="ru-RU"/>
        </w:rPr>
        <w:t xml:space="preserve">пункта 12 </w:t>
      </w:r>
      <w:r>
        <w:rPr>
          <w:color w:val="000000"/>
          <w:spacing w:val="0"/>
          <w:w w:val="100"/>
          <w:position w:val="0"/>
          <w:shd w:val="clear" w:color="auto" w:fill="auto"/>
          <w:lang w:val="ru-RU" w:eastAsia="ru-RU" w:bidi="ru-RU"/>
        </w:rPr>
        <w:t xml:space="preserve">постановления Правительства РФ № 616, </w:t>
      </w:r>
      <w:r>
        <w:rPr>
          <w:color w:val="000000"/>
          <w:spacing w:val="0"/>
          <w:w w:val="100"/>
          <w:position w:val="0"/>
          <w:shd w:val="clear" w:color="auto" w:fill="auto"/>
          <w:lang w:val="ru-RU" w:eastAsia="ru-RU" w:bidi="ru-RU"/>
        </w:rPr>
        <w:t xml:space="preserve">пункта 2(2) </w:t>
      </w:r>
      <w:r>
        <w:rPr>
          <w:color w:val="000000"/>
          <w:spacing w:val="0"/>
          <w:w w:val="100"/>
          <w:position w:val="0"/>
          <w:shd w:val="clear" w:color="auto" w:fill="auto"/>
          <w:lang w:val="ru-RU" w:eastAsia="ru-RU" w:bidi="ru-RU"/>
        </w:rPr>
        <w:t>постановления Правительства РФ № 102.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 материалы дела Комиссия Курганского УФАС России признала довод жалобы 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результате проведения внеплановой проверки в действиях Заказчика Комиссией Курганского УФАС России выявлены нарушения части 3 статьи 7, пунктов 1, 5 части 2 статьи 42 Закона о контрактной системе, которые выразились в следующем.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пунктами 1, 5 частью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электронные</w:t>
        <w:br w:type="page"/>
      </w:r>
      <w:r>
        <w:rPr>
          <w:color w:val="000000"/>
          <w:spacing w:val="0"/>
          <w:w w:val="100"/>
          <w:position w:val="0"/>
          <w:shd w:val="clear" w:color="auto" w:fill="auto"/>
          <w:lang w:val="ru-RU" w:eastAsia="ru-RU" w:bidi="ru-RU"/>
        </w:rPr>
        <w:t>документы: описание объекта закупки в соответствии со статьей 33 настоящего Федерального закона; проект контракта.</w:t>
      </w:r>
    </w:p>
    <w:p>
      <w:pPr>
        <w:pStyle w:val="Style10"/>
        <w:keepNext w:val="0"/>
        <w:keepLines w:val="0"/>
        <w:widowControl w:val="0"/>
        <w:shd w:val="clear" w:color="auto" w:fill="auto"/>
        <w:bidi w:val="0"/>
        <w:spacing w:before="0" w:after="380" w:line="240" w:lineRule="auto"/>
        <w:ind w:left="0" w:right="0" w:firstLine="720"/>
        <w:jc w:val="both"/>
      </w:pPr>
      <w:r>
        <w:rPr>
          <w:color w:val="000000"/>
          <w:spacing w:val="0"/>
          <w:w w:val="100"/>
          <w:position w:val="0"/>
          <w:shd w:val="clear" w:color="auto" w:fill="auto"/>
          <w:lang w:val="ru-RU" w:eastAsia="ru-RU" w:bidi="ru-RU"/>
        </w:rPr>
        <w:t>Согласно Общероссийскому классификатору продукции по видам экономической деятельности, в ОКПД2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p>
      <w:pPr>
        <w:pStyle w:val="Style10"/>
        <w:keepNext w:val="0"/>
        <w:keepLines w:val="0"/>
        <w:widowControl w:val="0"/>
        <w:shd w:val="clear" w:color="auto" w:fill="auto"/>
        <w:bidi w:val="0"/>
        <w:spacing w:before="0" w:after="16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2289810</wp:posOffset>
                </wp:positionH>
                <wp:positionV relativeFrom="paragraph">
                  <wp:posOffset>12700</wp:posOffset>
                </wp:positionV>
                <wp:extent cx="1036320" cy="2368550"/>
                <wp:wrapSquare wrapText="left"/>
                <wp:docPr id="11" name="Shape 11"/>
                <a:graphic xmlns:a="http://schemas.openxmlformats.org/drawingml/2006/main">
                  <a:graphicData uri="http://schemas.microsoft.com/office/word/2010/wordprocessingShape">
                    <wps:wsp>
                      <wps:cNvSpPr txBox="1"/>
                      <wps:spPr>
                        <a:xfrm>
                          <a:ext cx="1036320" cy="2368550"/>
                        </a:xfrm>
                        <a:prstGeom prst="rect"/>
                        <a:noFill/>
                      </wps:spPr>
                      <wps:txbx>
                        <w:txbxContent>
                          <w:p>
                            <w:pPr>
                              <w:pStyle w:val="Style10"/>
                              <w:keepNext w:val="0"/>
                              <w:keepLines w:val="0"/>
                              <w:widowControl w:val="0"/>
                              <w:shd w:val="clear" w:color="auto" w:fill="auto"/>
                              <w:bidi w:val="0"/>
                              <w:spacing w:before="0" w:after="220" w:line="391" w:lineRule="auto"/>
                              <w:ind w:left="0" w:right="0" w:firstLine="0"/>
                              <w:jc w:val="left"/>
                            </w:pPr>
                            <w:r>
                              <w:rPr>
                                <w:color w:val="000000"/>
                                <w:spacing w:val="0"/>
                                <w:w w:val="100"/>
                                <w:position w:val="0"/>
                                <w:shd w:val="clear" w:color="auto" w:fill="auto"/>
                                <w:lang w:val="ru-RU" w:eastAsia="ru-RU" w:bidi="ru-RU"/>
                              </w:rPr>
                              <w:t>класс</w:t>
                            </w:r>
                          </w:p>
                          <w:p>
                            <w:pPr>
                              <w:pStyle w:val="Style10"/>
                              <w:keepNext w:val="0"/>
                              <w:keepLines w:val="0"/>
                              <w:widowControl w:val="0"/>
                              <w:shd w:val="clear" w:color="auto" w:fill="auto"/>
                              <w:bidi w:val="0"/>
                              <w:spacing w:before="0" w:after="220" w:line="391" w:lineRule="auto"/>
                              <w:ind w:left="0" w:right="0" w:firstLine="0"/>
                              <w:jc w:val="left"/>
                            </w:pPr>
                            <w:r>
                              <w:rPr>
                                <w:color w:val="000000"/>
                                <w:spacing w:val="0"/>
                                <w:w w:val="100"/>
                                <w:position w:val="0"/>
                                <w:shd w:val="clear" w:color="auto" w:fill="auto"/>
                                <w:lang w:val="ru-RU" w:eastAsia="ru-RU" w:bidi="ru-RU"/>
                              </w:rPr>
                              <w:t>подкласс</w:t>
                            </w:r>
                          </w:p>
                          <w:p>
                            <w:pPr>
                              <w:pStyle w:val="Style10"/>
                              <w:keepNext w:val="0"/>
                              <w:keepLines w:val="0"/>
                              <w:widowControl w:val="0"/>
                              <w:shd w:val="clear" w:color="auto" w:fill="auto"/>
                              <w:bidi w:val="0"/>
                              <w:spacing w:before="0" w:after="0" w:line="391" w:lineRule="auto"/>
                              <w:ind w:left="0" w:right="0" w:firstLine="0"/>
                              <w:jc w:val="left"/>
                            </w:pPr>
                            <w:r>
                              <w:rPr>
                                <w:color w:val="000000"/>
                                <w:spacing w:val="0"/>
                                <w:w w:val="100"/>
                                <w:position w:val="0"/>
                                <w:shd w:val="clear" w:color="auto" w:fill="auto"/>
                                <w:lang w:val="ru-RU" w:eastAsia="ru-RU" w:bidi="ru-RU"/>
                              </w:rPr>
                              <w:t>группа подгруппа вид</w:t>
                            </w:r>
                          </w:p>
                          <w:p>
                            <w:pPr>
                              <w:pStyle w:val="Style10"/>
                              <w:keepNext w:val="0"/>
                              <w:keepLines w:val="0"/>
                              <w:widowControl w:val="0"/>
                              <w:shd w:val="clear" w:color="auto" w:fill="auto"/>
                              <w:bidi w:val="0"/>
                              <w:spacing w:before="0" w:after="220" w:line="391" w:lineRule="auto"/>
                              <w:ind w:left="0" w:right="0" w:firstLine="0"/>
                              <w:jc w:val="left"/>
                            </w:pPr>
                            <w:r>
                              <w:rPr>
                                <w:color w:val="000000"/>
                                <w:spacing w:val="0"/>
                                <w:w w:val="100"/>
                                <w:position w:val="0"/>
                                <w:shd w:val="clear" w:color="auto" w:fill="auto"/>
                                <w:lang w:val="ru-RU" w:eastAsia="ru-RU" w:bidi="ru-RU"/>
                              </w:rPr>
                              <w:t>категория подкатегория</w:t>
                            </w:r>
                          </w:p>
                        </w:txbxContent>
                      </wps:txbx>
                      <wps:bodyPr lIns="0" tIns="0" rIns="0" bIns="0">
                        <a:noAutoFit/>
                      </wps:bodyPr>
                    </wps:wsp>
                  </a:graphicData>
                </a:graphic>
              </wp:anchor>
            </w:drawing>
          </mc:Choice>
          <mc:Fallback>
            <w:pict>
              <v:shape id="_x0000_s1037" type="#_x0000_t202" style="position:absolute;margin-left:180.30000000000001pt;margin-top:1.pt;width:81.600000000000009pt;height:186.5pt;z-index:-125829369;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220" w:line="391" w:lineRule="auto"/>
                        <w:ind w:left="0" w:right="0" w:firstLine="0"/>
                        <w:jc w:val="left"/>
                      </w:pPr>
                      <w:r>
                        <w:rPr>
                          <w:color w:val="000000"/>
                          <w:spacing w:val="0"/>
                          <w:w w:val="100"/>
                          <w:position w:val="0"/>
                          <w:shd w:val="clear" w:color="auto" w:fill="auto"/>
                          <w:lang w:val="ru-RU" w:eastAsia="ru-RU" w:bidi="ru-RU"/>
                        </w:rPr>
                        <w:t>класс</w:t>
                      </w:r>
                    </w:p>
                    <w:p>
                      <w:pPr>
                        <w:pStyle w:val="Style10"/>
                        <w:keepNext w:val="0"/>
                        <w:keepLines w:val="0"/>
                        <w:widowControl w:val="0"/>
                        <w:shd w:val="clear" w:color="auto" w:fill="auto"/>
                        <w:bidi w:val="0"/>
                        <w:spacing w:before="0" w:after="220" w:line="391" w:lineRule="auto"/>
                        <w:ind w:left="0" w:right="0" w:firstLine="0"/>
                        <w:jc w:val="left"/>
                      </w:pPr>
                      <w:r>
                        <w:rPr>
                          <w:color w:val="000000"/>
                          <w:spacing w:val="0"/>
                          <w:w w:val="100"/>
                          <w:position w:val="0"/>
                          <w:shd w:val="clear" w:color="auto" w:fill="auto"/>
                          <w:lang w:val="ru-RU" w:eastAsia="ru-RU" w:bidi="ru-RU"/>
                        </w:rPr>
                        <w:t>подкласс</w:t>
                      </w:r>
                    </w:p>
                    <w:p>
                      <w:pPr>
                        <w:pStyle w:val="Style10"/>
                        <w:keepNext w:val="0"/>
                        <w:keepLines w:val="0"/>
                        <w:widowControl w:val="0"/>
                        <w:shd w:val="clear" w:color="auto" w:fill="auto"/>
                        <w:bidi w:val="0"/>
                        <w:spacing w:before="0" w:after="0" w:line="391" w:lineRule="auto"/>
                        <w:ind w:left="0" w:right="0" w:firstLine="0"/>
                        <w:jc w:val="left"/>
                      </w:pPr>
                      <w:r>
                        <w:rPr>
                          <w:color w:val="000000"/>
                          <w:spacing w:val="0"/>
                          <w:w w:val="100"/>
                          <w:position w:val="0"/>
                          <w:shd w:val="clear" w:color="auto" w:fill="auto"/>
                          <w:lang w:val="ru-RU" w:eastAsia="ru-RU" w:bidi="ru-RU"/>
                        </w:rPr>
                        <w:t>группа подгруппа вид</w:t>
                      </w:r>
                    </w:p>
                    <w:p>
                      <w:pPr>
                        <w:pStyle w:val="Style10"/>
                        <w:keepNext w:val="0"/>
                        <w:keepLines w:val="0"/>
                        <w:widowControl w:val="0"/>
                        <w:shd w:val="clear" w:color="auto" w:fill="auto"/>
                        <w:bidi w:val="0"/>
                        <w:spacing w:before="0" w:after="220" w:line="391" w:lineRule="auto"/>
                        <w:ind w:left="0" w:right="0" w:firstLine="0"/>
                        <w:jc w:val="left"/>
                      </w:pPr>
                      <w:r>
                        <w:rPr>
                          <w:color w:val="000000"/>
                          <w:spacing w:val="0"/>
                          <w:w w:val="100"/>
                          <w:position w:val="0"/>
                          <w:shd w:val="clear" w:color="auto" w:fill="auto"/>
                          <w:lang w:val="ru-RU" w:eastAsia="ru-RU" w:bidi="ru-RU"/>
                        </w:rPr>
                        <w:t>категория подкатегория</w:t>
                      </w:r>
                    </w:p>
                  </w:txbxContent>
                </v:textbox>
                <w10:wrap type="square" side="left" anchorx="page"/>
              </v:shape>
            </w:pict>
          </mc:Fallback>
        </mc:AlternateContent>
      </w:r>
      <w:r>
        <w:rPr>
          <w:color w:val="000000"/>
          <w:spacing w:val="0"/>
          <w:w w:val="100"/>
          <w:position w:val="0"/>
          <w:shd w:val="clear" w:color="auto" w:fill="auto"/>
          <w:lang w:val="ru-RU" w:eastAsia="ru-RU" w:bidi="ru-RU"/>
        </w:rPr>
        <w:t>XX</w:t>
      </w:r>
    </w:p>
    <w:p>
      <w:pPr>
        <w:pStyle w:val="Style10"/>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хх.х</w:t>
      </w:r>
    </w:p>
    <w:p>
      <w:pPr>
        <w:pStyle w:val="Style10"/>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хх.хх</w:t>
      </w:r>
    </w:p>
    <w:p>
      <w:pPr>
        <w:pStyle w:val="Style10"/>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хх.хх.х</w:t>
      </w:r>
    </w:p>
    <w:p>
      <w:pPr>
        <w:pStyle w:val="Style10"/>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хх.хх.хх</w:t>
      </w:r>
    </w:p>
    <w:p>
      <w:pPr>
        <w:pStyle w:val="Style10"/>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хх.хх.хх.ххо</w:t>
      </w:r>
    </w:p>
    <w:p>
      <w:pPr>
        <w:pStyle w:val="Style10"/>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хх.хх.хх.ххх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Курганского УФАС России установлено, что при формировании в ЕИС извещения и Описания объекта закупки Заказчиком установлен коды позиции </w:t>
      </w:r>
      <w:r>
        <w:rPr>
          <w:color w:val="000000"/>
          <w:spacing w:val="0"/>
          <w:w w:val="100"/>
          <w:position w:val="0"/>
          <w:shd w:val="clear" w:color="auto" w:fill="auto"/>
          <w:lang w:val="ru-RU" w:eastAsia="ru-RU" w:bidi="ru-RU"/>
        </w:rPr>
        <w:t xml:space="preserve">ОКПД2 </w:t>
      </w:r>
      <w:r>
        <w:rPr>
          <w:color w:val="000000"/>
          <w:spacing w:val="0"/>
          <w:w w:val="100"/>
          <w:position w:val="0"/>
          <w:shd w:val="clear" w:color="auto" w:fill="auto"/>
          <w:lang w:val="ru-RU" w:eastAsia="ru-RU" w:bidi="ru-RU"/>
        </w:rPr>
        <w:t>- 32.50.50.000 и 32.50.50.190.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Данные коды ОКПД2 согласно Общероссийскому классификатору продукции по видам экономической деятельности, входят в одну группу - </w:t>
      </w:r>
      <w:r>
        <w:rPr>
          <w:color w:val="000000"/>
          <w:spacing w:val="0"/>
          <w:w w:val="100"/>
          <w:position w:val="0"/>
          <w:u w:val="single"/>
          <w:shd w:val="clear" w:color="auto" w:fill="auto"/>
          <w:lang w:val="ru-RU" w:eastAsia="ru-RU" w:bidi="ru-RU"/>
        </w:rPr>
        <w:t>32.50</w:t>
      </w:r>
      <w:r>
        <w:rPr>
          <w:color w:val="000000"/>
          <w:spacing w:val="0"/>
          <w:w w:val="100"/>
          <w:position w:val="0"/>
          <w:shd w:val="clear" w:color="auto" w:fill="auto"/>
          <w:lang w:val="ru-RU" w:eastAsia="ru-RU" w:bidi="ru-RU"/>
        </w:rPr>
        <w:t xml:space="preserve"> «Инструменты и оборудование медицинские».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электронного аукциона объектом рассматриваемой закупки является поставка расходных материалов для лаборатории (пробирки).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Вместе с тем, при формировании условий проекта контракта, Заказчиком в пункте 1.1. проекта контакта установлен код ОКПД2 - </w:t>
      </w:r>
      <w:r>
        <w:rPr>
          <w:color w:val="000000"/>
          <w:spacing w:val="0"/>
          <w:w w:val="100"/>
          <w:position w:val="0"/>
          <w:u w:val="single"/>
          <w:shd w:val="clear" w:color="auto" w:fill="auto"/>
          <w:lang w:val="ru-RU" w:eastAsia="ru-RU" w:bidi="ru-RU"/>
        </w:rPr>
        <w:t>21.20</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Общероссийскому классификатору продукции по видам экономической деятельности, установленный Заказчиком в проекте контракта код ОКПД2 - </w:t>
      </w:r>
      <w:r>
        <w:rPr>
          <w:color w:val="000000"/>
          <w:spacing w:val="0"/>
          <w:w w:val="100"/>
          <w:position w:val="0"/>
          <w:u w:val="single"/>
          <w:shd w:val="clear" w:color="auto" w:fill="auto"/>
          <w:lang w:val="ru-RU" w:eastAsia="ru-RU" w:bidi="ru-RU"/>
        </w:rPr>
        <w:t>21.20</w:t>
      </w:r>
      <w:r>
        <w:rPr>
          <w:color w:val="000000"/>
          <w:spacing w:val="0"/>
          <w:w w:val="100"/>
          <w:position w:val="0"/>
          <w:shd w:val="clear" w:color="auto" w:fill="auto"/>
          <w:lang w:val="ru-RU" w:eastAsia="ru-RU" w:bidi="ru-RU"/>
        </w:rPr>
        <w:t xml:space="preserve"> является группой, в которую входят - «Препараты лекарственные и материалы, применяемые в медицинских целях».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установление в извещении о проведении электронного аукциона и проекте контракта разных кодов</w:t>
      </w:r>
      <w:r>
        <w:rPr>
          <w:color w:val="000000"/>
          <w:spacing w:val="0"/>
          <w:w w:val="100"/>
          <w:position w:val="0"/>
          <w:shd w:val="clear" w:color="auto" w:fill="auto"/>
          <w:lang w:val="ru-RU" w:eastAsia="ru-RU" w:bidi="ru-RU"/>
        </w:rPr>
        <w:t xml:space="preserve"> ОКПД2 </w:t>
      </w:r>
      <w:r>
        <w:rPr>
          <w:color w:val="000000"/>
          <w:spacing w:val="0"/>
          <w:w w:val="100"/>
          <w:position w:val="0"/>
          <w:shd w:val="clear" w:color="auto" w:fill="auto"/>
          <w:lang w:val="ru-RU" w:eastAsia="ru-RU" w:bidi="ru-RU"/>
        </w:rPr>
        <w:t>товара, привело к разночтению, и соответственно к нарушению части 3 статьи 7, пунктов 1, 5 части 2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проведения внеплановой проверки, иных нарушений требований законодательства о контрактной системе Комиссией Курганского УФАС России в действиях Заказчика не установлено.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Исследовав предоставленные материалы, руководствуясь статьей 106 Закона о контрактной системе в сфере закупок, руководствуясь административным регламентом по рассмотрению жалоб, утвержденным приказом Федеральной </w:t>
      </w:r>
      <w:r>
        <w:rPr>
          <w:color w:val="000000"/>
          <w:spacing w:val="0"/>
          <w:w w:val="100"/>
          <w:position w:val="0"/>
          <w:shd w:val="clear" w:color="auto" w:fill="auto"/>
          <w:lang w:val="ru-RU" w:eastAsia="ru-RU" w:bidi="ru-RU"/>
        </w:rPr>
        <w:t>антимонопольной службы России от 19.11.2014 № 727/14, статьями 99, 106 Закона о контрактной системе, Комиссией Курганского УФАС России,</w:t>
      </w:r>
    </w:p>
    <w:p>
      <w:pPr>
        <w:pStyle w:val="Style15"/>
        <w:keepNext/>
        <w:keepLines/>
        <w:widowControl w:val="0"/>
        <w:shd w:val="clear" w:color="auto" w:fill="auto"/>
        <w:bidi w:val="0"/>
        <w:spacing w:before="0" w:line="240" w:lineRule="auto"/>
        <w:ind w:left="0" w:right="0" w:firstLine="0"/>
        <w:jc w:val="center"/>
      </w:pPr>
      <w:bookmarkStart w:id="9" w:name="bookmark9"/>
      <w:r>
        <w:rPr>
          <w:color w:val="000000"/>
          <w:spacing w:val="0"/>
          <w:w w:val="100"/>
          <w:position w:val="0"/>
          <w:shd w:val="clear" w:color="auto" w:fill="auto"/>
          <w:lang w:val="ru-RU" w:eastAsia="ru-RU" w:bidi="ru-RU"/>
        </w:rPr>
        <w:t>РЕШИЛА:</w:t>
      </w:r>
      <w:bookmarkEnd w:id="9"/>
    </w:p>
    <w:p>
      <w:pPr>
        <w:pStyle w:val="Style10"/>
        <w:keepNext w:val="0"/>
        <w:keepLines w:val="0"/>
        <w:widowControl w:val="0"/>
        <w:numPr>
          <w:ilvl w:val="0"/>
          <w:numId w:val="3"/>
        </w:numPr>
        <w:shd w:val="clear" w:color="auto" w:fill="auto"/>
        <w:tabs>
          <w:tab w:pos="108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«ББ ГРУП» обоснованной.</w:t>
      </w:r>
    </w:p>
    <w:p>
      <w:pPr>
        <w:pStyle w:val="Style10"/>
        <w:keepNext w:val="0"/>
        <w:keepLines w:val="0"/>
        <w:widowControl w:val="0"/>
        <w:numPr>
          <w:ilvl w:val="0"/>
          <w:numId w:val="3"/>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в действиях Заказчика - Государственного бюджетного учреждения «Межрайонная больница № 4» нарушения части 3 статьи 7, пунктов 1, 5 части 2 статьи 42, </w:t>
      </w:r>
      <w:r>
        <w:rPr>
          <w:color w:val="000000"/>
          <w:spacing w:val="0"/>
          <w:w w:val="100"/>
          <w:position w:val="0"/>
          <w:shd w:val="clear" w:color="auto" w:fill="auto"/>
          <w:lang w:val="ru-RU" w:eastAsia="ru-RU" w:bidi="ru-RU"/>
        </w:rPr>
        <w:t>части 3 статьи 14</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пункта 2 части 29 статьи 34</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пункта 1</w:t>
      </w:r>
      <w:r>
        <w:rPr>
          <w:color w:val="000000"/>
          <w:spacing w:val="0"/>
          <w:w w:val="100"/>
          <w:position w:val="0"/>
          <w:shd w:val="clear" w:color="auto" w:fill="auto"/>
          <w:lang w:val="ru-RU" w:eastAsia="ru-RU" w:bidi="ru-RU"/>
        </w:rPr>
        <w:t>5 части 1 статьи 42 Закона о контрактной системе,</w:t>
      </w:r>
      <w:r>
        <w:rPr>
          <w:color w:val="000000"/>
          <w:spacing w:val="0"/>
          <w:w w:val="100"/>
          <w:position w:val="0"/>
          <w:shd w:val="clear" w:color="auto" w:fill="auto"/>
          <w:lang w:val="ru-RU" w:eastAsia="ru-RU" w:bidi="ru-RU"/>
        </w:rPr>
        <w:t xml:space="preserve"> пункта 12 </w:t>
      </w:r>
      <w:r>
        <w:rPr>
          <w:color w:val="000000"/>
          <w:spacing w:val="0"/>
          <w:w w:val="100"/>
          <w:position w:val="0"/>
          <w:shd w:val="clear" w:color="auto" w:fill="auto"/>
          <w:lang w:val="ru-RU" w:eastAsia="ru-RU" w:bidi="ru-RU"/>
        </w:rPr>
        <w:t>постановления Правительства РФ № 616,</w:t>
      </w:r>
      <w:r>
        <w:rPr>
          <w:color w:val="000000"/>
          <w:spacing w:val="0"/>
          <w:w w:val="100"/>
          <w:position w:val="0"/>
          <w:shd w:val="clear" w:color="auto" w:fill="auto"/>
          <w:lang w:val="ru-RU" w:eastAsia="ru-RU" w:bidi="ru-RU"/>
        </w:rPr>
        <w:t xml:space="preserve"> пункта 2(2) </w:t>
      </w:r>
      <w:r>
        <w:rPr>
          <w:color w:val="000000"/>
          <w:spacing w:val="0"/>
          <w:w w:val="100"/>
          <w:position w:val="0"/>
          <w:shd w:val="clear" w:color="auto" w:fill="auto"/>
          <w:lang w:val="ru-RU" w:eastAsia="ru-RU" w:bidi="ru-RU"/>
        </w:rPr>
        <w:t>постановления Правительства РФ № 102.</w:t>
      </w:r>
    </w:p>
    <w:p>
      <w:pPr>
        <w:pStyle w:val="Style10"/>
        <w:keepNext w:val="0"/>
        <w:keepLines w:val="0"/>
        <w:widowControl w:val="0"/>
        <w:numPr>
          <w:ilvl w:val="0"/>
          <w:numId w:val="5"/>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 Государственному бюджетному учреждению «Межрайонная больница № 4» обязательное для исполнения предписание об устранении выявленных нарушений.</w:t>
      </w:r>
    </w:p>
    <w:p>
      <w:pPr>
        <w:pStyle w:val="Style10"/>
        <w:keepNext w:val="0"/>
        <w:keepLines w:val="0"/>
        <w:widowControl w:val="0"/>
        <w:numPr>
          <w:ilvl w:val="0"/>
          <w:numId w:val="5"/>
        </w:numPr>
        <w:shd w:val="clear" w:color="auto" w:fill="auto"/>
        <w:tabs>
          <w:tab w:pos="1093" w:val="left"/>
        </w:tabs>
        <w:bidi w:val="0"/>
        <w:spacing w:before="0" w:after="380" w:line="240" w:lineRule="auto"/>
        <w:ind w:left="0" w:right="0" w:firstLine="740"/>
        <w:jc w:val="both"/>
      </w:pPr>
      <w:r>
        <w:rPr>
          <w:color w:val="000000"/>
          <w:spacing w:val="0"/>
          <w:w w:val="100"/>
          <w:position w:val="0"/>
          <w:shd w:val="clear" w:color="auto" w:fill="auto"/>
          <w:lang w:val="ru-RU" w:eastAsia="ru-RU" w:bidi="ru-RU"/>
        </w:rPr>
        <w:t>Передать материалы должностному лицу Курганского УФАС России, уполномоченному решать вопрос о возбуждении административного производства.</w:t>
      </w:r>
    </w:p>
    <w:p>
      <w:pPr>
        <w:pStyle w:val="Style10"/>
        <w:keepNext w:val="0"/>
        <w:keepLines w:val="0"/>
        <w:widowControl w:val="0"/>
        <w:shd w:val="clear" w:color="auto" w:fill="auto"/>
        <w:bidi w:val="0"/>
        <w:spacing w:before="0" w:after="58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pos="5244" w:val="left"/>
          <w:tab w:leader="underscore" w:pos="7594" w:val="left"/>
        </w:tabs>
        <w:bidi w:val="0"/>
        <w:spacing w:before="0" w:after="280" w:line="240" w:lineRule="auto"/>
        <w:ind w:left="0" w:right="0" w:firstLine="0"/>
        <w:jc w:val="both"/>
      </w:pPr>
      <w:r>
        <w:rPr>
          <w:color w:val="000000"/>
          <w:spacing w:val="0"/>
          <w:w w:val="100"/>
          <w:position w:val="0"/>
          <w:shd w:val="clear" w:color="auto" w:fill="auto"/>
          <w:lang w:val="ru-RU" w:eastAsia="ru-RU" w:bidi="ru-RU"/>
        </w:rPr>
        <w:t>Заместитель Председателя Комиссии:</w:t>
        <w:tab/>
        <w:tab/>
        <w:t>/ А.В. Иванова</w:t>
      </w:r>
    </w:p>
    <w:p>
      <w:pPr>
        <w:pStyle w:val="Style10"/>
        <w:keepNext w:val="0"/>
        <w:keepLines w:val="0"/>
        <w:widowControl w:val="0"/>
        <w:shd w:val="clear" w:color="auto" w:fill="auto"/>
        <w:tabs>
          <w:tab w:leader="underscore" w:pos="5244" w:val="left"/>
        </w:tabs>
        <w:bidi w:val="0"/>
        <w:spacing w:before="0" w:after="160" w:line="240" w:lineRule="auto"/>
        <w:ind w:left="2900" w:right="0" w:firstLine="0"/>
        <w:jc w:val="both"/>
      </w:pPr>
      <w:r>
        <mc:AlternateContent>
          <mc:Choice Requires="wps">
            <w:drawing>
              <wp:anchor distT="0" distB="0" distL="114300" distR="114300" simplePos="0" relativeHeight="125829386" behindDoc="0" locked="0" layoutInCell="1" allowOverlap="1">
                <wp:simplePos x="0" y="0"/>
                <wp:positionH relativeFrom="page">
                  <wp:posOffset>710565</wp:posOffset>
                </wp:positionH>
                <wp:positionV relativeFrom="paragraph">
                  <wp:posOffset>12700</wp:posOffset>
                </wp:positionV>
                <wp:extent cx="1371600" cy="250190"/>
                <wp:wrapSquare wrapText="right"/>
                <wp:docPr id="13" name="Shape 13"/>
                <a:graphic xmlns:a="http://schemas.openxmlformats.org/drawingml/2006/main">
                  <a:graphicData uri="http://schemas.microsoft.com/office/word/2010/wordprocessingShape">
                    <wps:wsp>
                      <wps:cNvSpPr txBox="1"/>
                      <wps:spPr>
                        <a:xfrm>
                          <a:ext cx="137160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55.950000000000003pt;margin-top:1.pt;width:108.pt;height:19.699999999999999pt;z-index:-125829367;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ab/>
        <w:t>/ И.М. Стрижова</w:t>
      </w:r>
    </w:p>
    <w:p>
      <w:pPr>
        <w:pStyle w:val="Style10"/>
        <w:keepNext w:val="0"/>
        <w:keepLines w:val="0"/>
        <w:widowControl w:val="0"/>
        <w:shd w:val="clear" w:color="auto" w:fill="auto"/>
        <w:tabs>
          <w:tab w:leader="underscore" w:pos="2386" w:val="left"/>
        </w:tabs>
        <w:bidi w:val="0"/>
        <w:spacing w:before="0" w:after="280" w:line="240" w:lineRule="auto"/>
        <w:ind w:left="0" w:right="1080" w:firstLine="0"/>
        <w:jc w:val="right"/>
      </w:pPr>
      <w:r>
        <w:rPr>
          <w:color w:val="000000"/>
          <w:spacing w:val="0"/>
          <w:w w:val="100"/>
          <w:position w:val="0"/>
          <w:shd w:val="clear" w:color="auto" w:fill="auto"/>
          <w:lang w:val="ru-RU" w:eastAsia="ru-RU" w:bidi="ru-RU"/>
        </w:rPr>
        <w:tab/>
        <w:t>/ А.А. Голуб</w:t>
      </w:r>
    </w:p>
    <w:sectPr>
      <w:footerReference w:type="default" r:id="rId9"/>
      <w:footerReference w:type="first" r:id="rId10"/>
      <w:footnotePr>
        <w:pos w:val="pageBottom"/>
        <w:numFmt w:val="decimal"/>
        <w:numRestart w:val="continuous"/>
      </w:footnotePr>
      <w:pgSz w:w="11900" w:h="16840"/>
      <w:pgMar w:top="1066" w:right="537" w:bottom="1192" w:left="1100"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9999345</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2023-1556</w:t>
                          </w:r>
                        </w:p>
                      </w:txbxContent>
                    </wps:txbx>
                    <wps:bodyPr wrap="none" lIns="0" tIns="0" rIns="0" bIns="0">
                      <a:spAutoFit/>
                    </wps:bodyPr>
                  </wps:wsp>
                </a:graphicData>
              </a:graphic>
            </wp:anchor>
          </w:drawing>
        </mc:Choice>
        <mc:Fallback>
          <w:pict>
            <v:shape id="_x0000_s1041" type="#_x0000_t202" style="position:absolute;margin-left:56.700000000000003pt;margin-top:787.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2023-1556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9999345</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2023-1556</w:t>
                          </w:r>
                        </w:p>
                      </w:txbxContent>
                    </wps:txbx>
                    <wps:bodyPr wrap="none" lIns="0" tIns="0" rIns="0" bIns="0">
                      <a:spAutoFit/>
                    </wps:bodyPr>
                  </wps:wsp>
                </a:graphicData>
              </a:graphic>
            </wp:anchor>
          </w:drawing>
        </mc:Choice>
        <mc:Fallback>
          <w:pict>
            <v:shape id="_x0000_s1043" type="#_x0000_t202" style="position:absolute;margin-left:57.300000000000004pt;margin-top:787.35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2023-1556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2"/>
      <w:szCs w:val="42"/>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28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