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</w: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4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штамп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797" w:val="left"/>
        </w:tabs>
        <w:bidi w:val="0"/>
        <w:spacing w:before="0" w:after="400" w:line="240" w:lineRule="auto"/>
        <w:ind w:left="0" w:right="0" w:firstLine="16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регистрации</w:t>
        <w:tab/>
      </w:r>
      <w:r>
        <w:fldChar w:fldCharType="end"/>
      </w:r>
      <w:r>
        <w:rPr>
          <w:color w:val="425FA7"/>
          <w:spacing w:val="0"/>
          <w:w w:val="100"/>
          <w:position w:val="0"/>
          <w:shd w:val="clear" w:color="auto" w:fill="auto"/>
          <w:lang w:val="ru-RU" w:eastAsia="ru-RU" w:bidi="ru-RU"/>
        </w:rPr>
        <w:t>хр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20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ГКБ № 1 ИМ. Н.И.ПИРОГОВА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тагке11пд-дкЫ@уапдех.ги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«СОФТЛИФТ»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дпкшей@Ък.ги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684" w:bottom="621" w:left="1332" w:header="0" w:footer="3" w:gutter="0"/>
          <w:pgNumType w:start="1"/>
          <w:cols w:num="2" w:space="1262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2" w:right="0" w:bottom="6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077/06/106-27055-ЭП/23/2023 о нарушении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ГКБ № 1 ИМ. Н.И.ПИРОГОВА: К.В. Кудрявцева (дов.№2 от 09.01.2023), С.И. Мурашкевича (дов.№10-з от 28.04.2023),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«СОФТЛИФТ»: Н.Е. Герасимовой (дов.№28/04 от 28.04.2023),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«СОФТЛИФТ» (далее — Заявитель) на действия ГКБ № 1 ИМ. Н.И.ПИРОГОВА (далее — Заказчик) при проведении электронного аукциона на право заключения государственного контракта на поставку шприцов инъекционных для нужд ГКБ №1 им. Н.И.Пирогова (Закупка № 0373200074823000197) (далее - аукцион) в соответствии с Федеральным законом от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Заявитель указывает, что для товаров по п.2,8 «Шприц общего назначения» установлены неправомерные требования, совокупности которых соответствует продукция единственного производителя, а именно «Б. Браун Мельзунген АГ» Германия.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ограничивающим требованием является: «Градуированный объем шприца: 2 см[3*];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мл./ 5 см[3*];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мл. Игла в комплекте: Две и более».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ч.1 ст.106 Закона о контрактной системе лица, права и законные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согласившись с доводом жалобы представитель Заказчика указал, что помимо товара, указанного в жалобе, требованиям закупочной документации также соответствуют продукция следующих производителей: Вес1оп 1)1с1&lt;пш)п, ВВгаип, Вах!ег.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в качестве подтверждения соответствия указанной продукции требованиям закупочной документации Заказчик ссылается на иные государственные контракты, по которым приобреталось продукция, идентичная с рассматриваемой закупочной процедурой, а также на наличие коммерческих предложений с товарами вышеуказанных производителей.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Комиссия Управления отмечает, что информация по иным государственным контрактам не может быть принята в качестве подтверждения соответствия представленной Заказчиком продукции, требованиям закупочной документации, поскольку такие сведения могут не отображать фактические характеристики, заявленные производителями, равно как и представленные Заказчиком коммерческие предложения.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иных сведений, подтверждающих соответствие указанной Заказчиком продукции, например, письма производителей, сведений из каталогов/инструкции/сайтов, представителем Заказчика не представлено.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отмечает, что в случае, если при закупке товаров среди требуемых к поставке позиций присутствует хотя бы один товар, требования к характеристикам которого установлены таким образом, что совокупности таких требований отвечает только товар единственного производителя, то описание объекта закупки имеет признаки ограничения количества участников закупки, так как закупить и поставить уникальный товар имеет возможность только ограниченный круг лиц, имеющий с производителем такого товара партнерские отношения и/или иные договоры о сотрудничестве.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а также с учетом пояснений представителя Заказчика и Заявителя, Комиссия Управления приходит к выводу об обоснованности доводов жалобы и о нарушении Заказчиком положений п.1 ч.1 ст.33 Закона о контрактной системе при формировании описания объекта закупки, что, в свою очередь, содержит признаки состава административного правонарушения, предусмотренного ч.4.1 ст.7.30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«СОФТЛИФТ» на действия ГКБ № 1 ИМ. Н.И.ПИРОГОВА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положений п.1 ч.1 ст.33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8" w:val="left"/>
        </w:tabs>
        <w:bidi w:val="0"/>
        <w:spacing w:before="0" w:after="20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6310630</wp:posOffset>
                </wp:positionH>
                <wp:positionV relativeFrom="paragraph">
                  <wp:posOffset>12700</wp:posOffset>
                </wp:positionV>
                <wp:extent cx="902335" cy="25273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233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К.А. Сомов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96.90000000000003pt;margin-top:1.pt;width:71.049999999999997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К.А. Сомов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82" w:right="532" w:bottom="638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10053320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2023-18875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450000000000003pt;margin-top:791.60000000000002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2023-18875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2023-18875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2023-18875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436880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9999999999999pt;margin-top:34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character" w:customStyle="1" w:styleId="CharStyle10">
    <w:name w:val="Основной текст (4)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17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7"/>
      <w:sz w:val="19"/>
      <w:szCs w:val="19"/>
      <w:u w:val="non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  <w:spacing w:after="220"/>
      <w:ind w:firstLine="300"/>
    </w:pPr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