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60705" cy="6337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60705" cy="633730"/>
                    </a:xfrm>
                    <a:prstGeom prst="rect"/>
                  </pic:spPr>
                </pic:pic>
              </a:graphicData>
            </a:graphic>
          </wp:inline>
        </w:drawing>
      </w:r>
    </w:p>
    <w:p>
      <w:pPr>
        <w:widowControl w:val="0"/>
        <w:spacing w:after="59" w:line="1" w:lineRule="exact"/>
      </w:pPr>
    </w:p>
    <w:p>
      <w:pPr>
        <w:pStyle w:val="Style5"/>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ФЕДЕРАЛЬНАЯ</w:t>
        <w:br/>
        <w:t>АНТИМОНОПОЛЬНАЯ СЛУЖБА</w:t>
      </w:r>
      <w:bookmarkEnd w:id="0"/>
    </w:p>
    <w:p>
      <w:pPr>
        <w:pStyle w:val="Style5"/>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hd w:val="clear" w:color="auto" w:fill="auto"/>
          <w:lang w:val="ru-RU" w:eastAsia="ru-RU" w:bidi="ru-RU"/>
        </w:rPr>
        <w:t>УПРАВЛЕНИЕ</w:t>
      </w:r>
      <w:bookmarkEnd w:id="2"/>
    </w:p>
    <w:p>
      <w:pPr>
        <w:pStyle w:val="Style5"/>
        <w:keepNext/>
        <w:keepLines/>
        <w:widowControl w:val="0"/>
        <w:pBdr>
          <w:bottom w:val="single" w:sz="4" w:space="0" w:color="auto"/>
        </w:pBdr>
        <w:shd w:val="clear" w:color="auto" w:fill="auto"/>
        <w:bidi w:val="0"/>
        <w:spacing w:before="0" w:after="240" w:line="240" w:lineRule="auto"/>
        <w:ind w:left="0" w:right="0" w:firstLine="0"/>
        <w:jc w:val="center"/>
      </w:pPr>
      <w:bookmarkStart w:id="4" w:name="bookmark4"/>
      <w:r>
        <w:rPr>
          <w:color w:val="000000"/>
          <w:spacing w:val="0"/>
          <w:w w:val="100"/>
          <w:position w:val="0"/>
          <w:shd w:val="clear" w:color="auto" w:fill="auto"/>
          <w:lang w:val="ru-RU" w:eastAsia="ru-RU" w:bidi="ru-RU"/>
        </w:rPr>
        <w:t>Федеральной антимонопольной службы по Вологодской области</w:t>
      </w:r>
      <w:bookmarkEnd w:id="4"/>
    </w:p>
    <w:p>
      <w:pPr>
        <w:pStyle w:val="Style7"/>
        <w:keepNext w:val="0"/>
        <w:keepLines w:val="0"/>
        <w:widowControl w:val="0"/>
        <w:shd w:val="clear" w:color="auto" w:fill="auto"/>
        <w:bidi w:val="0"/>
        <w:spacing w:before="0" w:after="120" w:line="240" w:lineRule="auto"/>
        <w:ind w:left="0" w:right="0" w:firstLine="0"/>
        <w:jc w:val="center"/>
      </w:pPr>
      <w:r>
        <w:rPr>
          <w:color w:val="000000"/>
          <w:spacing w:val="0"/>
          <w:w w:val="100"/>
          <w:position w:val="0"/>
          <w:sz w:val="24"/>
          <w:szCs w:val="24"/>
          <w:shd w:val="clear" w:color="auto" w:fill="auto"/>
          <w:lang w:val="ru-RU" w:eastAsia="ru-RU" w:bidi="ru-RU"/>
        </w:rPr>
        <w:t>160035, г. Вологда, ул. Пушкинская, 25, тел. (8172) 72-99-70, факс (8172) 72-46-64</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е-таП:</w:t>
      </w:r>
      <w:r>
        <w:fldChar w:fldCharType="begin"/>
      </w:r>
      <w:r>
        <w:rPr/>
        <w:instrText> HYPERLINK "mailto:to35@fas.gov.ru" </w:instrText>
      </w:r>
      <w:r>
        <w:fldChar w:fldCharType="separate"/>
      </w:r>
      <w:r>
        <w:rPr>
          <w:color w:val="000000"/>
          <w:spacing w:val="0"/>
          <w:w w:val="100"/>
          <w:position w:val="0"/>
          <w:sz w:val="24"/>
          <w:szCs w:val="24"/>
          <w:shd w:val="clear" w:color="auto" w:fill="auto"/>
          <w:lang w:val="ru-RU" w:eastAsia="ru-RU" w:bidi="ru-RU"/>
        </w:rPr>
        <w:t xml:space="preserve"> </w:t>
      </w:r>
      <w:r>
        <w:rPr>
          <w:color w:val="0000FF"/>
          <w:spacing w:val="0"/>
          <w:w w:val="100"/>
          <w:position w:val="0"/>
          <w:sz w:val="24"/>
          <w:szCs w:val="24"/>
          <w:shd w:val="clear" w:color="auto" w:fill="auto"/>
          <w:lang w:val="ru-RU" w:eastAsia="ru-RU" w:bidi="ru-RU"/>
        </w:rPr>
        <w:t>1о35@а8.доу.ш</w:t>
      </w:r>
      <w:r>
        <w:fldChar w:fldCharType="end"/>
      </w:r>
    </w:p>
    <w:p>
      <w:pPr>
        <w:pStyle w:val="Style7"/>
        <w:keepNext w:val="0"/>
        <w:keepLines w:val="0"/>
        <w:widowControl w:val="0"/>
        <w:shd w:val="clear" w:color="auto" w:fill="auto"/>
        <w:bidi w:val="0"/>
        <w:spacing w:before="0" w:after="60" w:line="240" w:lineRule="auto"/>
        <w:ind w:left="0" w:right="0" w:firstLine="0"/>
        <w:jc w:val="left"/>
      </w:pPr>
      <w:r>
        <w:fldChar w:fldCharType="begin"/>
      </w:r>
      <w:r>
        <w:rPr/>
        <w:instrText> HYPERLINK "http://vologda.fas.gov.ru/" </w:instrText>
      </w:r>
      <w:r>
        <w:fldChar w:fldCharType="separate"/>
      </w:r>
      <w:r>
        <w:rPr>
          <w:color w:val="0000FF"/>
          <w:spacing w:val="0"/>
          <w:w w:val="100"/>
          <w:position w:val="0"/>
          <w:sz w:val="24"/>
          <w:szCs w:val="24"/>
          <w:u w:val="single"/>
          <w:shd w:val="clear" w:color="auto" w:fill="auto"/>
          <w:lang w:val="ru-RU" w:eastAsia="ru-RU" w:bidi="ru-RU"/>
        </w:rPr>
        <w:t>Ь^^р://Vо1одда.Га8.доV.^и</w:t>
      </w:r>
      <w:r>
        <w:fldChar w:fldCharType="end"/>
      </w:r>
    </w:p>
    <w:p>
      <w:pPr>
        <w:pStyle w:val="Style7"/>
        <w:keepNext w:val="0"/>
        <w:keepLines w:val="0"/>
        <w:widowControl w:val="0"/>
        <w:shd w:val="clear" w:color="auto" w:fill="auto"/>
        <w:tabs>
          <w:tab w:pos="9238" w:val="left"/>
        </w:tabs>
        <w:bidi w:val="0"/>
        <w:spacing w:before="0" w:after="0" w:line="240" w:lineRule="auto"/>
        <w:ind w:left="4520" w:right="0" w:firstLine="0"/>
        <w:jc w:val="left"/>
      </w:pPr>
      <w:r>
        <w:rPr>
          <w:color w:val="000000"/>
          <w:spacing w:val="0"/>
          <w:w w:val="100"/>
          <w:position w:val="0"/>
          <w:sz w:val="24"/>
          <w:szCs w:val="24"/>
          <w:shd w:val="clear" w:color="auto" w:fill="auto"/>
          <w:lang w:val="ru-RU" w:eastAsia="ru-RU" w:bidi="ru-RU"/>
        </w:rPr>
        <w:t>Г</w:t>
        <w:tab/>
        <w:t>1</w:t>
      </w:r>
    </w:p>
    <w:p>
      <w:pPr>
        <w:pStyle w:val="Style11"/>
        <w:keepNext/>
        <w:keepLines/>
        <w:widowControl w:val="0"/>
        <w:shd w:val="clear" w:color="auto" w:fill="auto"/>
        <w:bidi w:val="0"/>
        <w:spacing w:before="0" w:after="0" w:line="180" w:lineRule="auto"/>
        <w:ind w:right="0" w:firstLine="0"/>
        <w:jc w:val="left"/>
      </w:pPr>
      <w:bookmarkStart w:id="6" w:name="bookmark6"/>
      <w:r>
        <w:rPr>
          <w:color w:val="000000"/>
          <w:spacing w:val="0"/>
          <w:w w:val="100"/>
          <w:position w:val="0"/>
          <w:sz w:val="24"/>
          <w:szCs w:val="24"/>
          <w:shd w:val="clear" w:color="auto" w:fill="auto"/>
          <w:lang w:val="ru-RU" w:eastAsia="ru-RU" w:bidi="ru-RU"/>
        </w:rPr>
        <w:t>Заявитель:</w:t>
      </w:r>
      <w:bookmarkEnd w:id="6"/>
    </w:p>
    <w:p>
      <w:pPr>
        <w:pStyle w:val="Style7"/>
        <w:keepNext w:val="0"/>
        <w:keepLines w:val="0"/>
        <w:widowControl w:val="0"/>
        <w:shd w:val="clear" w:color="auto" w:fill="auto"/>
        <w:tabs>
          <w:tab w:pos="4842" w:val="left"/>
        </w:tabs>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от 10.05.2023г. № 04-11/105-23</w:t>
        <w:tab/>
        <w:t>ООО «АПГРЕЙТ»</w:t>
      </w:r>
    </w:p>
    <w:p>
      <w:pPr>
        <w:pStyle w:val="Style7"/>
        <w:keepNext w:val="0"/>
        <w:keepLines w:val="0"/>
        <w:widowControl w:val="0"/>
        <w:shd w:val="clear" w:color="auto" w:fill="auto"/>
        <w:bidi w:val="0"/>
        <w:spacing w:before="0" w:after="0" w:line="240" w:lineRule="auto"/>
        <w:ind w:left="4840" w:right="0" w:firstLine="0"/>
        <w:jc w:val="left"/>
      </w:pPr>
      <w:r>
        <w:rPr>
          <w:color w:val="000000"/>
          <w:spacing w:val="0"/>
          <w:w w:val="100"/>
          <w:position w:val="0"/>
          <w:sz w:val="24"/>
          <w:szCs w:val="24"/>
          <w:shd w:val="clear" w:color="auto" w:fill="auto"/>
          <w:lang w:val="ru-RU" w:eastAsia="ru-RU" w:bidi="ru-RU"/>
        </w:rPr>
        <w:t>344022, г. Ростов-на-Дону,</w:t>
      </w:r>
    </w:p>
    <w:p>
      <w:pPr>
        <w:pStyle w:val="Style7"/>
        <w:keepNext w:val="0"/>
        <w:keepLines w:val="0"/>
        <w:widowControl w:val="0"/>
        <w:shd w:val="clear" w:color="auto" w:fill="auto"/>
        <w:bidi w:val="0"/>
        <w:spacing w:before="0" w:after="0" w:line="240" w:lineRule="auto"/>
        <w:ind w:left="4840" w:right="0" w:firstLine="0"/>
        <w:jc w:val="left"/>
      </w:pPr>
      <w:r>
        <w:rPr>
          <w:color w:val="000000"/>
          <w:spacing w:val="0"/>
          <w:w w:val="100"/>
          <w:position w:val="0"/>
          <w:sz w:val="24"/>
          <w:szCs w:val="24"/>
          <w:shd w:val="clear" w:color="auto" w:fill="auto"/>
          <w:lang w:val="ru-RU" w:eastAsia="ru-RU" w:bidi="ru-RU"/>
        </w:rPr>
        <w:t>ул. Станиславского, 167/25, эт. 6, оф. 602</w:t>
      </w:r>
    </w:p>
    <w:p>
      <w:pPr>
        <w:pStyle w:val="Style7"/>
        <w:keepNext w:val="0"/>
        <w:keepLines w:val="0"/>
        <w:widowControl w:val="0"/>
        <w:shd w:val="clear" w:color="auto" w:fill="auto"/>
        <w:bidi w:val="0"/>
        <w:spacing w:before="0" w:after="120" w:line="240" w:lineRule="auto"/>
        <w:ind w:left="4840" w:right="0" w:firstLine="0"/>
        <w:jc w:val="left"/>
      </w:pPr>
      <w:r>
        <w:fldChar w:fldCharType="begin"/>
      </w:r>
      <w:r>
        <w:rPr/>
        <w:instrText> HYPERLINK "mailto:asd456wsx96@yandex.ru" </w:instrText>
      </w:r>
      <w:r>
        <w:fldChar w:fldCharType="separate"/>
      </w:r>
      <w:r>
        <w:rPr>
          <w:color w:val="000000"/>
          <w:spacing w:val="0"/>
          <w:w w:val="100"/>
          <w:position w:val="0"/>
          <w:sz w:val="24"/>
          <w:szCs w:val="24"/>
          <w:shd w:val="clear" w:color="auto" w:fill="auto"/>
          <w:lang w:val="ru-RU" w:eastAsia="ru-RU" w:bidi="ru-RU"/>
        </w:rPr>
        <w:t>а8с1456\\ъх96@уапс1ех.ги</w:t>
      </w:r>
      <w:r>
        <w:fldChar w:fldCharType="end"/>
      </w:r>
    </w:p>
    <w:p>
      <w:pPr>
        <w:pStyle w:val="Style11"/>
        <w:keepNext/>
        <w:keepLines/>
        <w:widowControl w:val="0"/>
        <w:shd w:val="clear" w:color="auto" w:fill="auto"/>
        <w:bidi w:val="0"/>
        <w:spacing w:before="0" w:after="0" w:line="240" w:lineRule="auto"/>
        <w:ind w:right="0" w:firstLine="0"/>
        <w:jc w:val="left"/>
      </w:pPr>
      <w:bookmarkStart w:id="8" w:name="bookmark8"/>
      <w:r>
        <w:rPr>
          <w:color w:val="000000"/>
          <w:spacing w:val="0"/>
          <w:w w:val="100"/>
          <w:position w:val="0"/>
          <w:sz w:val="24"/>
          <w:szCs w:val="24"/>
          <w:shd w:val="clear" w:color="auto" w:fill="auto"/>
          <w:lang w:val="ru-RU" w:eastAsia="ru-RU" w:bidi="ru-RU"/>
        </w:rPr>
        <w:t>Заказчик:</w:t>
      </w:r>
      <w:bookmarkEnd w:id="8"/>
    </w:p>
    <w:p>
      <w:pPr>
        <w:pStyle w:val="Style7"/>
        <w:keepNext w:val="0"/>
        <w:keepLines w:val="0"/>
        <w:widowControl w:val="0"/>
        <w:shd w:val="clear" w:color="auto" w:fill="auto"/>
        <w:bidi w:val="0"/>
        <w:spacing w:before="0" w:after="0" w:line="240" w:lineRule="auto"/>
        <w:ind w:left="4840" w:right="0" w:firstLine="0"/>
        <w:jc w:val="left"/>
      </w:pPr>
      <w:r>
        <w:rPr>
          <w:color w:val="000000"/>
          <w:spacing w:val="0"/>
          <w:w w:val="100"/>
          <w:position w:val="0"/>
          <w:sz w:val="24"/>
          <w:szCs w:val="24"/>
          <w:shd w:val="clear" w:color="auto" w:fill="auto"/>
          <w:lang w:val="ru-RU" w:eastAsia="ru-RU" w:bidi="ru-RU"/>
        </w:rPr>
        <w:t>Бюджетное учреждение здравоохранения Вологодской области «Вологодский областной госпиталь для ветеранов войн»</w:t>
      </w:r>
    </w:p>
    <w:p>
      <w:pPr>
        <w:pStyle w:val="Style7"/>
        <w:keepNext w:val="0"/>
        <w:keepLines w:val="0"/>
        <w:widowControl w:val="0"/>
        <w:shd w:val="clear" w:color="auto" w:fill="auto"/>
        <w:bidi w:val="0"/>
        <w:spacing w:before="0" w:after="0" w:line="240" w:lineRule="auto"/>
        <w:ind w:left="4840" w:right="0" w:firstLine="0"/>
        <w:jc w:val="left"/>
      </w:pPr>
      <w:r>
        <w:rPr>
          <w:color w:val="000000"/>
          <w:spacing w:val="0"/>
          <w:w w:val="100"/>
          <w:position w:val="0"/>
          <w:sz w:val="24"/>
          <w:szCs w:val="24"/>
          <w:shd w:val="clear" w:color="auto" w:fill="auto"/>
          <w:lang w:val="ru-RU" w:eastAsia="ru-RU" w:bidi="ru-RU"/>
        </w:rPr>
        <w:t>160001, г. Вологда, ул. Благовещенская, д. 39</w:t>
      </w:r>
    </w:p>
    <w:p>
      <w:pPr>
        <w:pStyle w:val="Style7"/>
        <w:keepNext w:val="0"/>
        <w:keepLines w:val="0"/>
        <w:widowControl w:val="0"/>
        <w:shd w:val="clear" w:color="auto" w:fill="auto"/>
        <w:bidi w:val="0"/>
        <w:spacing w:before="0" w:after="120" w:line="240" w:lineRule="auto"/>
        <w:ind w:left="4840" w:right="0" w:firstLine="0"/>
        <w:jc w:val="left"/>
      </w:pPr>
      <w:r>
        <w:fldChar w:fldCharType="begin"/>
      </w:r>
      <w:r>
        <w:rPr/>
        <w:instrText> HYPERLINK "mailto:orgvogvv@mail.ru" </w:instrText>
      </w:r>
      <w:r>
        <w:fldChar w:fldCharType="separate"/>
      </w:r>
      <w:r>
        <w:rPr>
          <w:color w:val="000000"/>
          <w:spacing w:val="0"/>
          <w:w w:val="100"/>
          <w:position w:val="0"/>
          <w:sz w:val="24"/>
          <w:szCs w:val="24"/>
          <w:shd w:val="clear" w:color="auto" w:fill="auto"/>
          <w:lang w:val="ru-RU" w:eastAsia="ru-RU" w:bidi="ru-RU"/>
        </w:rPr>
        <w:t>о^дуодVV@та^1.ш</w:t>
      </w:r>
      <w:r>
        <w:fldChar w:fldCharType="end"/>
      </w:r>
    </w:p>
    <w:p>
      <w:pPr>
        <w:pStyle w:val="Style11"/>
        <w:keepNext/>
        <w:keepLines/>
        <w:widowControl w:val="0"/>
        <w:shd w:val="clear" w:color="auto" w:fill="auto"/>
        <w:bidi w:val="0"/>
        <w:spacing w:before="0" w:after="0" w:line="240" w:lineRule="auto"/>
        <w:ind w:right="0" w:firstLine="0"/>
        <w:jc w:val="left"/>
      </w:pPr>
      <w:bookmarkStart w:id="10" w:name="bookmark10"/>
      <w:r>
        <w:rPr>
          <w:color w:val="000000"/>
          <w:spacing w:val="0"/>
          <w:w w:val="100"/>
          <w:position w:val="0"/>
          <w:sz w:val="24"/>
          <w:szCs w:val="24"/>
          <w:shd w:val="clear" w:color="auto" w:fill="auto"/>
          <w:lang w:val="ru-RU" w:eastAsia="ru-RU" w:bidi="ru-RU"/>
        </w:rPr>
        <w:t>Уполномоченное учреждение:</w:t>
      </w:r>
      <w:bookmarkEnd w:id="10"/>
    </w:p>
    <w:p>
      <w:pPr>
        <w:pStyle w:val="Style7"/>
        <w:keepNext w:val="0"/>
        <w:keepLines w:val="0"/>
        <w:widowControl w:val="0"/>
        <w:shd w:val="clear" w:color="auto" w:fill="auto"/>
        <w:bidi w:val="0"/>
        <w:spacing w:before="0" w:after="0" w:line="240" w:lineRule="auto"/>
        <w:ind w:left="4840" w:right="0" w:firstLine="0"/>
        <w:jc w:val="left"/>
      </w:pPr>
      <w:r>
        <w:rPr>
          <w:color w:val="000000"/>
          <w:spacing w:val="0"/>
          <w:w w:val="100"/>
          <w:position w:val="0"/>
          <w:sz w:val="24"/>
          <w:szCs w:val="24"/>
          <w:shd w:val="clear" w:color="auto" w:fill="auto"/>
          <w:lang w:val="ru-RU" w:eastAsia="ru-RU" w:bidi="ru-RU"/>
        </w:rPr>
        <w:t>Государственное казенное учреждение Вологодской области «Центр закупок» (КУ ВО «Центр закупок»)</w:t>
      </w:r>
    </w:p>
    <w:p>
      <w:pPr>
        <w:pStyle w:val="Style7"/>
        <w:keepNext w:val="0"/>
        <w:keepLines w:val="0"/>
        <w:widowControl w:val="0"/>
        <w:shd w:val="clear" w:color="auto" w:fill="auto"/>
        <w:bidi w:val="0"/>
        <w:spacing w:before="0" w:after="0" w:line="240" w:lineRule="auto"/>
        <w:ind w:left="4840" w:right="0" w:firstLine="0"/>
        <w:jc w:val="left"/>
      </w:pPr>
      <w:r>
        <w:rPr>
          <w:color w:val="000000"/>
          <w:spacing w:val="0"/>
          <w:w w:val="100"/>
          <w:position w:val="0"/>
          <w:sz w:val="24"/>
          <w:szCs w:val="24"/>
          <w:shd w:val="clear" w:color="auto" w:fill="auto"/>
          <w:lang w:val="ru-RU" w:eastAsia="ru-RU" w:bidi="ru-RU"/>
        </w:rPr>
        <w:t>160001, г. Вологда, ул. Мальцева, д. 7.</w:t>
      </w:r>
    </w:p>
    <w:p>
      <w:pPr>
        <w:pStyle w:val="Style7"/>
        <w:keepNext w:val="0"/>
        <w:keepLines w:val="0"/>
        <w:widowControl w:val="0"/>
        <w:shd w:val="clear" w:color="auto" w:fill="auto"/>
        <w:bidi w:val="0"/>
        <w:spacing w:before="0" w:after="120" w:line="240" w:lineRule="auto"/>
        <w:ind w:left="4840" w:right="0" w:firstLine="0"/>
        <w:jc w:val="left"/>
      </w:pPr>
      <w:r>
        <w:fldChar w:fldCharType="begin"/>
      </w:r>
      <w:r>
        <w:rPr/>
        <w:instrText> HYPERLINK "mailto:cz@cz.gov35.ru" </w:instrText>
      </w:r>
      <w:r>
        <w:fldChar w:fldCharType="separate"/>
      </w:r>
      <w:r>
        <w:rPr>
          <w:color w:val="000000"/>
          <w:spacing w:val="0"/>
          <w:w w:val="100"/>
          <w:position w:val="0"/>
          <w:sz w:val="24"/>
          <w:szCs w:val="24"/>
          <w:shd w:val="clear" w:color="auto" w:fill="auto"/>
          <w:lang w:val="ru-RU" w:eastAsia="ru-RU" w:bidi="ru-RU"/>
        </w:rPr>
        <w:t>сx@сx.доV35.ш</w:t>
      </w:r>
      <w:r>
        <w:fldChar w:fldCharType="end"/>
      </w:r>
    </w:p>
    <w:p>
      <w:pPr>
        <w:pStyle w:val="Style11"/>
        <w:keepNext/>
        <w:keepLines/>
        <w:widowControl w:val="0"/>
        <w:shd w:val="clear" w:color="auto" w:fill="auto"/>
        <w:bidi w:val="0"/>
        <w:spacing w:before="0" w:after="0" w:line="240" w:lineRule="auto"/>
        <w:ind w:right="0" w:firstLine="0"/>
        <w:jc w:val="left"/>
      </w:pPr>
      <w:bookmarkStart w:id="12" w:name="bookmark12"/>
      <w:r>
        <w:rPr>
          <w:color w:val="000000"/>
          <w:spacing w:val="0"/>
          <w:w w:val="100"/>
          <w:position w:val="0"/>
          <w:sz w:val="24"/>
          <w:szCs w:val="24"/>
          <w:shd w:val="clear" w:color="auto" w:fill="auto"/>
          <w:lang w:val="ru-RU" w:eastAsia="ru-RU" w:bidi="ru-RU"/>
        </w:rPr>
        <w:t>Оператор электронной площадки:</w:t>
      </w:r>
      <w:bookmarkEnd w:id="12"/>
    </w:p>
    <w:p>
      <w:pPr>
        <w:pStyle w:val="Style7"/>
        <w:keepNext w:val="0"/>
        <w:keepLines w:val="0"/>
        <w:widowControl w:val="0"/>
        <w:shd w:val="clear" w:color="auto" w:fill="auto"/>
        <w:bidi w:val="0"/>
        <w:spacing w:before="0" w:after="0" w:line="240" w:lineRule="auto"/>
        <w:ind w:left="4840" w:right="0" w:firstLine="0"/>
        <w:jc w:val="left"/>
      </w:pPr>
      <w:r>
        <w:rPr>
          <w:color w:val="000000"/>
          <w:spacing w:val="0"/>
          <w:w w:val="100"/>
          <w:position w:val="0"/>
          <w:sz w:val="24"/>
          <w:szCs w:val="24"/>
          <w:shd w:val="clear" w:color="auto" w:fill="auto"/>
          <w:lang w:val="ru-RU" w:eastAsia="ru-RU" w:bidi="ru-RU"/>
        </w:rPr>
        <w:t>АО «Сбербанк-АСТ»</w:t>
      </w:r>
    </w:p>
    <w:p>
      <w:pPr>
        <w:pStyle w:val="Style7"/>
        <w:keepNext w:val="0"/>
        <w:keepLines w:val="0"/>
        <w:widowControl w:val="0"/>
        <w:shd w:val="clear" w:color="auto" w:fill="auto"/>
        <w:bidi w:val="0"/>
        <w:spacing w:before="0" w:after="120" w:line="240" w:lineRule="auto"/>
        <w:ind w:left="4840" w:right="0" w:firstLine="0"/>
        <w:jc w:val="left"/>
      </w:pPr>
      <w:r>
        <w:fldChar w:fldCharType="begin"/>
      </w:r>
      <w:r>
        <w:rPr/>
        <w:instrText> HYPERLINK "http://www.sberbank-ast.ru/" </w:instrText>
      </w:r>
      <w:r>
        <w:fldChar w:fldCharType="separate"/>
      </w:r>
      <w:r>
        <w:rPr>
          <w:color w:val="000000"/>
          <w:spacing w:val="0"/>
          <w:w w:val="100"/>
          <w:position w:val="0"/>
          <w:sz w:val="24"/>
          <w:szCs w:val="24"/>
          <w:shd w:val="clear" w:color="auto" w:fill="auto"/>
          <w:lang w:val="ru-RU" w:eastAsia="ru-RU" w:bidi="ru-RU"/>
        </w:rPr>
        <w:t>Ьйр://^^^.8ЬегЬапк-а81.ги</w:t>
      </w:r>
      <w:r>
        <w:fldChar w:fldCharType="end"/>
      </w:r>
    </w:p>
    <w:p>
      <w:pPr>
        <w:pStyle w:val="Style11"/>
        <w:keepNext/>
        <w:keepLines/>
        <w:widowControl w:val="0"/>
        <w:shd w:val="clear" w:color="auto" w:fill="auto"/>
        <w:bidi w:val="0"/>
        <w:spacing w:before="0" w:after="0" w:line="240" w:lineRule="auto"/>
        <w:ind w:right="0" w:firstLine="0"/>
        <w:jc w:val="left"/>
      </w:pPr>
      <w:bookmarkStart w:id="14" w:name="bookmark14"/>
      <w:r>
        <w:rPr>
          <w:color w:val="000000"/>
          <w:spacing w:val="0"/>
          <w:w w:val="100"/>
          <w:position w:val="0"/>
          <w:sz w:val="24"/>
          <w:szCs w:val="24"/>
          <w:shd w:val="clear" w:color="auto" w:fill="auto"/>
          <w:lang w:val="ru-RU" w:eastAsia="ru-RU" w:bidi="ru-RU"/>
        </w:rPr>
        <w:t>Заинтересованное лицо:</w:t>
      </w:r>
      <w:bookmarkEnd w:id="14"/>
    </w:p>
    <w:p>
      <w:pPr>
        <w:pStyle w:val="Style7"/>
        <w:keepNext w:val="0"/>
        <w:keepLines w:val="0"/>
        <w:widowControl w:val="0"/>
        <w:shd w:val="clear" w:color="auto" w:fill="auto"/>
        <w:bidi w:val="0"/>
        <w:spacing w:before="0" w:after="0" w:line="240" w:lineRule="auto"/>
        <w:ind w:left="4840" w:right="0" w:firstLine="0"/>
        <w:jc w:val="left"/>
      </w:pPr>
      <w:r>
        <w:rPr>
          <w:color w:val="000000"/>
          <w:spacing w:val="0"/>
          <w:w w:val="100"/>
          <w:position w:val="0"/>
          <w:sz w:val="24"/>
          <w:szCs w:val="24"/>
          <w:shd w:val="clear" w:color="auto" w:fill="auto"/>
          <w:lang w:val="ru-RU" w:eastAsia="ru-RU" w:bidi="ru-RU"/>
        </w:rPr>
        <w:t>ООО «НЕВАРОСТМЕД»</w:t>
      </w:r>
    </w:p>
    <w:p>
      <w:pPr>
        <w:pStyle w:val="Style7"/>
        <w:keepNext w:val="0"/>
        <w:keepLines w:val="0"/>
        <w:widowControl w:val="0"/>
        <w:shd w:val="clear" w:color="auto" w:fill="auto"/>
        <w:bidi w:val="0"/>
        <w:spacing w:before="0" w:after="0" w:line="240" w:lineRule="auto"/>
        <w:ind w:left="4840" w:right="0" w:firstLine="0"/>
        <w:jc w:val="left"/>
      </w:pPr>
      <w:r>
        <w:rPr>
          <w:color w:val="000000"/>
          <w:spacing w:val="0"/>
          <w:w w:val="100"/>
          <w:position w:val="0"/>
          <w:sz w:val="24"/>
          <w:szCs w:val="24"/>
          <w:shd w:val="clear" w:color="auto" w:fill="auto"/>
          <w:lang w:val="ru-RU" w:eastAsia="ru-RU" w:bidi="ru-RU"/>
        </w:rPr>
        <w:t>198095, г. Санкт-Петербург, ул. Розенштейна, д. 21, литер А, пом. 123Н комн. 86</w:t>
      </w:r>
    </w:p>
    <w:p>
      <w:pPr>
        <w:pStyle w:val="Style7"/>
        <w:keepNext w:val="0"/>
        <w:keepLines w:val="0"/>
        <w:widowControl w:val="0"/>
        <w:shd w:val="clear" w:color="auto" w:fill="auto"/>
        <w:bidi w:val="0"/>
        <w:spacing w:before="0" w:after="560" w:line="240" w:lineRule="auto"/>
        <w:ind w:left="4840" w:right="0" w:firstLine="0"/>
        <w:jc w:val="left"/>
      </w:pPr>
      <w:r>
        <w:rPr>
          <w:color w:val="000000"/>
          <w:spacing w:val="0"/>
          <w:w w:val="100"/>
          <w:position w:val="0"/>
          <w:sz w:val="24"/>
          <w:szCs w:val="24"/>
          <w:shd w:val="clear" w:color="auto" w:fill="auto"/>
          <w:lang w:val="ru-RU" w:eastAsia="ru-RU" w:bidi="ru-RU"/>
        </w:rPr>
        <w:t>пеVа^о8^тед@дта^1.сот</w:t>
      </w:r>
    </w:p>
    <w:p>
      <w:pPr>
        <w:pStyle w:val="Style11"/>
        <w:keepNext/>
        <w:keepLines/>
        <w:widowControl w:val="0"/>
        <w:shd w:val="clear" w:color="auto" w:fill="auto"/>
        <w:bidi w:val="0"/>
        <w:spacing w:before="0" w:after="12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 Е Ш Е Н И Е № 035/06/33-317/2023 (04-11/105-23)</w:t>
      </w:r>
      <w:bookmarkEnd w:id="16"/>
    </w:p>
    <w:p>
      <w:pPr>
        <w:pStyle w:val="Style7"/>
        <w:keepNext w:val="0"/>
        <w:keepLines w:val="0"/>
        <w:widowControl w:val="0"/>
        <w:shd w:val="clear" w:color="auto" w:fill="auto"/>
        <w:tabs>
          <w:tab w:pos="8674" w:val="left"/>
        </w:tabs>
        <w:bidi w:val="0"/>
        <w:spacing w:before="0" w:after="120" w:line="240" w:lineRule="auto"/>
        <w:ind w:left="0" w:right="0" w:firstLine="0"/>
        <w:jc w:val="left"/>
      </w:pPr>
      <w:r>
        <w:rPr>
          <w:color w:val="000000"/>
          <w:spacing w:val="0"/>
          <w:w w:val="100"/>
          <w:position w:val="0"/>
          <w:sz w:val="24"/>
          <w:szCs w:val="24"/>
          <w:shd w:val="clear" w:color="auto" w:fill="auto"/>
          <w:lang w:val="ru-RU" w:eastAsia="ru-RU" w:bidi="ru-RU"/>
        </w:rPr>
        <w:t>03.05.2023г.</w:t>
        <w:tab/>
        <w:t>г. Вологда</w:t>
      </w:r>
    </w:p>
    <w:p>
      <w:pPr>
        <w:pStyle w:val="Style7"/>
        <w:keepNext w:val="0"/>
        <w:keepLines w:val="0"/>
        <w:widowControl w:val="0"/>
        <w:shd w:val="clear" w:color="auto" w:fill="auto"/>
        <w:tabs>
          <w:tab w:pos="2130" w:val="left"/>
          <w:tab w:pos="3916" w:val="left"/>
          <w:tab w:pos="5822" w:val="left"/>
          <w:tab w:pos="8202" w:val="left"/>
          <w:tab w:pos="9537" w:val="left"/>
        </w:tabs>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Комиссия</w:t>
        <w:tab/>
        <w:t>Управления</w:t>
        <w:tab/>
        <w:t>Федеральной</w:t>
        <w:tab/>
        <w:t>антимонопольной</w:t>
        <w:tab/>
        <w:t>службы</w:t>
        <w:tab/>
        <w:t>по</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Вологодской области (далее - Комиссия УФАС) в утвержденном составе:</w:t>
      </w:r>
    </w:p>
    <w:p>
      <w:pPr>
        <w:pStyle w:val="Style7"/>
        <w:keepNext w:val="0"/>
        <w:keepLines w:val="0"/>
        <w:widowControl w:val="0"/>
        <w:shd w:val="clear" w:color="auto" w:fill="auto"/>
        <w:tabs>
          <w:tab w:pos="3513" w:val="left"/>
          <w:tab w:pos="5087" w:val="left"/>
        </w:tabs>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Ростиславова А.А. -</w:t>
        <w:tab/>
        <w:t>заместитель</w:t>
        <w:tab/>
        <w:t>руководителя Управления Федеральной</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антимонопольной службы по Вологодской области, председатель Комиссии УФАС</w:t>
      </w:r>
    </w:p>
    <w:p>
      <w:pPr>
        <w:pStyle w:val="Style7"/>
        <w:keepNext w:val="0"/>
        <w:keepLines w:val="0"/>
        <w:widowControl w:val="0"/>
        <w:shd w:val="clear" w:color="auto" w:fill="auto"/>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Смышляева И.А. - заместитель начальника отдела контроля органов власти и закупок Управления Федеральной антимонопольной службы по Вологодской области, член Комиссии УФАС;</w:t>
      </w:r>
    </w:p>
    <w:p>
      <w:pPr>
        <w:pStyle w:val="Style7"/>
        <w:keepNext w:val="0"/>
        <w:keepLines w:val="0"/>
        <w:widowControl w:val="0"/>
        <w:shd w:val="clear" w:color="auto" w:fill="auto"/>
        <w:bidi w:val="0"/>
        <w:spacing w:before="0" w:after="120" w:line="240" w:lineRule="auto"/>
        <w:ind w:left="0" w:right="0" w:firstLine="580"/>
        <w:jc w:val="left"/>
      </w:pPr>
      <w:r>
        <w:rPr>
          <w:color w:val="000000"/>
          <w:spacing w:val="0"/>
          <w:w w:val="100"/>
          <w:position w:val="0"/>
          <w:sz w:val="24"/>
          <w:szCs w:val="24"/>
          <w:shd w:val="clear" w:color="auto" w:fill="auto"/>
          <w:lang w:val="ru-RU" w:eastAsia="ru-RU" w:bidi="ru-RU"/>
        </w:rPr>
        <w:t>Сучков О.Н. - помощник руководителя Управления Федеральной антимонопольной службы по Вологодской области, член Комиссии УФАС,</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жалобу (вх. № 2228-ЭП/23 от 26.04.2023г.) ООО «АПГРЕЙТ» (далее - Заявитель) на положение извещения о проведении электронного аукциона «Поставка медицинских изделий - система эндоскопической визуализации - ввод в эксплуатацию медицинских изделий, обучение правилам эксплуатации специалистов, эксплуатирующих медицинские изделия» (извещение № 0830500000223001202, далее - закупка, аукцион, извещению о проведении закупки/об аукционе), на действия/бездействие БУЗ ВО «Вологодский областной госпиталь для ветеранов войн» (далее - Заказчик), КУ ВО «Центр закупок» (далее - Уполномоченное учреждение) при проведении аукциона,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присутствии:</w:t>
      </w:r>
    </w:p>
    <w:p>
      <w:pPr>
        <w:pStyle w:val="Style7"/>
        <w:keepNext w:val="0"/>
        <w:keepLines w:val="0"/>
        <w:widowControl w:val="0"/>
        <w:numPr>
          <w:ilvl w:val="0"/>
          <w:numId w:val="1"/>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 Заказчика Кутина Е.В. (доверенность от 14.03.2023г. № 55);</w:t>
      </w:r>
    </w:p>
    <w:p>
      <w:pPr>
        <w:pStyle w:val="Style7"/>
        <w:keepNext w:val="0"/>
        <w:keepLines w:val="0"/>
        <w:widowControl w:val="0"/>
        <w:numPr>
          <w:ilvl w:val="0"/>
          <w:numId w:val="1"/>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 Уполномоченного учреждения Хорис Ю.В. (доверенность от 03.04.2023г. № 5);</w:t>
      </w:r>
    </w:p>
    <w:p>
      <w:pPr>
        <w:pStyle w:val="Style7"/>
        <w:keepNext w:val="0"/>
        <w:keepLines w:val="0"/>
        <w:widowControl w:val="0"/>
        <w:numPr>
          <w:ilvl w:val="0"/>
          <w:numId w:val="1"/>
        </w:numPr>
        <w:shd w:val="clear" w:color="auto" w:fill="auto"/>
        <w:tabs>
          <w:tab w:pos="774" w:val="left"/>
        </w:tabs>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от ООО «НЕВАРОСТМЕД» Леонова М.М. (доверенность от 01.2022г. без номера), в отсутствие представителя Заявителя, уведомленного о дате и времени рассмотрения жалобы надлежащим образом,</w:t>
      </w:r>
    </w:p>
    <w:p>
      <w:pPr>
        <w:pStyle w:val="Style11"/>
        <w:keepNext/>
        <w:keepLines/>
        <w:widowControl w:val="0"/>
        <w:shd w:val="clear" w:color="auto" w:fill="auto"/>
        <w:bidi w:val="0"/>
        <w:spacing w:before="0" w:after="120" w:line="240" w:lineRule="auto"/>
        <w:ind w:left="0" w:right="0" w:firstLine="0"/>
        <w:jc w:val="center"/>
      </w:pPr>
      <w:bookmarkStart w:id="18" w:name="bookmark18"/>
      <w:r>
        <w:rPr>
          <w:color w:val="000000"/>
          <w:spacing w:val="0"/>
          <w:w w:val="100"/>
          <w:position w:val="0"/>
          <w:sz w:val="24"/>
          <w:szCs w:val="24"/>
          <w:shd w:val="clear" w:color="auto" w:fill="auto"/>
          <w:lang w:val="ru-RU" w:eastAsia="ru-RU" w:bidi="ru-RU"/>
        </w:rPr>
        <w:t>У С Т А Н О В И Л А:</w:t>
      </w:r>
      <w:bookmarkEnd w:id="18"/>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25.04.2023г. жалоба Заявителя размещена в Единой информационной системе в сфере закупок </w:t>
      </w:r>
      <w:r>
        <w:fldChar w:fldCharType="begin"/>
      </w:r>
      <w:r>
        <w:rPr/>
        <w:instrText> HYPERLINK "https://zakupki.gov.ru/" </w:instrText>
      </w:r>
      <w:r>
        <w:fldChar w:fldCharType="separate"/>
      </w:r>
      <w:r>
        <w:rPr>
          <w:color w:val="000000"/>
          <w:spacing w:val="0"/>
          <w:w w:val="100"/>
          <w:position w:val="0"/>
          <w:sz w:val="24"/>
          <w:szCs w:val="24"/>
          <w:shd w:val="clear" w:color="auto" w:fill="auto"/>
          <w:lang w:val="ru-RU" w:eastAsia="ru-RU" w:bidi="ru-RU"/>
        </w:rPr>
        <w:t>(Ьйр8://xакирк^.доV.^и,</w:t>
      </w:r>
      <w:r>
        <w:fldChar w:fldCharType="end"/>
      </w:r>
      <w:r>
        <w:rPr>
          <w:color w:val="000000"/>
          <w:spacing w:val="0"/>
          <w:w w:val="100"/>
          <w:position w:val="0"/>
          <w:sz w:val="24"/>
          <w:szCs w:val="24"/>
          <w:shd w:val="clear" w:color="auto" w:fill="auto"/>
          <w:lang w:val="ru-RU" w:eastAsia="ru-RU" w:bidi="ru-RU"/>
        </w:rPr>
        <w:t xml:space="preserve"> далее - ЕИС), 26.04.2023г. жалоба зарегистрирована в Управлении Федеральной антимонопольной службы по Вологодской области (далее - УФАС).</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25.04.2023г. в ЕИС размещена жалоба ООО «НЕВАРОСТМЕД» (вх. № 2229-ЭП/23 от 26.04.2023г.) на положение извещения о проведении закупки, на действия/бездействие Заказчика и Уполномоченного учреждения при проведении аукциона.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 1 ч. 2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жалоба на положения извещения об осуществлении закупки может быть подана до окончания срока подачи заявок на участие в закупке.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извещению об аукцион дата и время окончания срока подачи заявок - 26.04.2023г. 08:00 (мск).</w:t>
      </w:r>
    </w:p>
    <w:p>
      <w:pPr>
        <w:pStyle w:val="Style7"/>
        <w:keepNext w:val="0"/>
        <w:keepLines w:val="0"/>
        <w:widowControl w:val="0"/>
        <w:shd w:val="clear" w:color="auto" w:fill="auto"/>
        <w:tabs>
          <w:tab w:pos="91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Жалобы Заявителя и ООО «НЕВАРОСТМЕД» поданы в установленный срок и приняты УФАС к рассмотрению в порядке, предусмотренном ст.ст. 99, 105, 106 Закона № 44-ФЗ,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(далее - Правила №</w:t>
        <w:tab/>
        <w:t>1576),</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утвержденными постановлением Правительства Российской Федерации от 01.10.2020 № 1576,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 утвержденным приказом ФАС России от 19.11.2014 № 727/14.</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27.04.2023г. информация о принятии жалоб к рассмотрению и проведению внеплановой проверки размещена в ЕИС.</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Уведомлением от 27.04.2023г. №№ 04-11/105-23, 04-11/105-23 лицам, участвующим в рассмотрении жалоб, сообщено о назначении рассмотрения жалобы на 02.05.2023г. в 14:00 (мск).</w:t>
      </w:r>
    </w:p>
    <w:p>
      <w:pPr>
        <w:pStyle w:val="Style7"/>
        <w:keepNext w:val="0"/>
        <w:keepLines w:val="0"/>
        <w:widowControl w:val="0"/>
        <w:shd w:val="clear" w:color="auto" w:fill="auto"/>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 31 Правил № 1576, п. 3.32 Административного регламента по инициативе Комиссии УФАС и получения дополнительных пояснений объявлен перерыв до 15:00 (мск) 03.05.2023г.</w:t>
      </w:r>
    </w:p>
    <w:p>
      <w:pPr>
        <w:pStyle w:val="Style7"/>
        <w:keepNext w:val="0"/>
        <w:keepLines w:val="0"/>
        <w:widowControl w:val="0"/>
        <w:shd w:val="clear" w:color="auto" w:fill="auto"/>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В силу ч. 2 ст. 106 Закона № 44-ФЗ лицам, участвующим в рассмотрении жалоб, сообщено о возможности рассмотрения жалоб с использованием систем видеоконференцсвязи или программ, обеспечивающих голосовую видеосвязь посредством сети «Интернет» (далее - ВКС). Соответствующие ссылки ВКС направлены лицам, участвующим в рассмотрении жалоб. Право для участия и предоставления пояснений (документов) всем лицам, участвующим в рассмотрении жалоб, предоставлено.</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требованиями ст.ст. 99, 105, 106 Закона № 44-ФЗ, Правил № 1576 и Административного регламента Комиссией УФАС в рамках рассмотрения жалоб и внеплановой проверки установлено следующее.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14.04.2023г. извещение об аукционе размещено в ЕИС.</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извещению об аукционе объектом (предметом) закупки является «Поставка медицинских изделий - система эндоскопической визуализации - ввод в эксплуатацию медицинских изделий, обучение правилам эксплуатации специалистов, эксплуатирующих медицинские изделия».</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составляет 6 910 000,00 руб.</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Описание объекта закупки (Техническое задание) приведено в электронном документе - файл «Описание объекта закупки (Техническое задание)» (далее - ТЗ).</w:t>
      </w:r>
    </w:p>
    <w:p>
      <w:pPr>
        <w:pStyle w:val="Style7"/>
        <w:keepNext w:val="0"/>
        <w:keepLines w:val="0"/>
        <w:widowControl w:val="0"/>
        <w:shd w:val="clear" w:color="auto" w:fill="auto"/>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В ТЗ указано наименование объекта закупки: «Система эндоскопической визуализации КТРУ 26.60.12.119-00000374» с указанием показателей, позволяющих определить соответствие закупаемых товаров установленным Заказчиком требованиям.</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мнению Заявителя (ООО «АПГРЕЙТ»), в нарушение ст. 8, ч. 1, 3 ст. 33 Закона № 44-ФЗ, а также ст. ст. 10, 16 Федерального закона от 26.07.2006 № 135-ФЗ «О защите конкуренции» (далее - Закон № 135-ФЗ) характеристики, изложенные в ТЗ, указывают на оборудование одного конкретного производителя, что влечет за собой ограничение количества участников закупки и противоречит принципам законодательства о контрактной системе.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жалобе указано, что Заявителем для сравнительного анализа были выбраны все медицинские оборудования (далее - МО) от производителей, имеющих действующие регистрационные удостоверения и находящиеся в реестре Росздравнадзора, то есть разрешенные к обороту на территории Российской Федерации. Сравнительную таблицу со всеми моделями и параметрами в составе дополнительных пояснений Заявитель сообщил, что направит своевременно как в Комиссию УФАС, так и Заказчику.</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рамках рассмотрения жалоб Комиссией УФАС предложено Заявителю и ООО «НЕВАРОСТМЕД» представить доказательства, свидетельствующие об описании объекта закупки под одного производителя (анализ/сравнительные таблицы/данные о соответствии/несоответствии товара одному или нескольким производителям (с приложениями и ссылками на письма, инструкции, регистрационные удостоверения и иные документы производителей/официальных дистрибьюторов).</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ни Заявителем, ни ООО «НЕВАРОСТМЕД» доказательства, свидетельствующие об описании объекта закупки под одного производителя, в Комиссию УФАС не представлены.</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 стороны Заказчика представлена сравнительная таблица, согласно которой под описание объекта закупки (ТЗ) соответствуют два производителя - «ХОЯ Корпорейшн» (Япония) и «СОНОСКЕЙП МЕДИКАЛ КОРП.» (Китай). Указанная сравнительная таблица направлена в адрес Заявителя и ООО «НЕВАРОСТМЕД».</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положений Закона № 44-ФЗ, Правил № 1576 и Административного регламента при проведении проверок и рассмотрении жалоб на действия/бездействие заказчиков и иных субъектов контроля не обязывает антимонопольный орган/соответствующие комиссии антимонопольного органа устанавливать те факты, которые умалчиваются участниками процесса.</w:t>
      </w:r>
    </w:p>
    <w:p>
      <w:pPr>
        <w:pStyle w:val="Style7"/>
        <w:keepNext w:val="0"/>
        <w:keepLines w:val="0"/>
        <w:widowControl w:val="0"/>
        <w:shd w:val="clear" w:color="auto" w:fill="auto"/>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Комиссия УФАС оценивает доводы Заявителя, пояснения, возражения Заказчика и иных субъектов контроля с учетом требований действующего законодательства и на основании представленных доказательств (документов).</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Заявителем и ООО «НЕВАРОСТМЕД» не представлены доказательства, опровергающие позицию Заказчика.</w:t>
      </w:r>
    </w:p>
    <w:p>
      <w:pPr>
        <w:pStyle w:val="Style7"/>
        <w:keepNext w:val="0"/>
        <w:keepLines w:val="0"/>
        <w:widowControl w:val="0"/>
        <w:shd w:val="clear" w:color="auto" w:fill="auto"/>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Довод Заявителя является необоснованным.</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рамках внеплановой проверки Комиссия УФАС рассмотрела жалобу ООО «НЕВАРОСТМЕД» (далее - Общество) и установила следующее.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мнению Общества, при описании объекта закупки (ТЗ) применен «ГОСТ Р 56278</w:t>
        <w:softHyphen/>
        <w:t>2014. Национальный стандарт Российской Федерации. Изделия медицинские электрические. Видеоэндоскопические комплексы с установками для ультразвуковой и флуоресцентной эндоскопии. Технические требования для государственных закупок» (далее - ГОСТ Р 56278</w:t>
        <w:softHyphen/>
        <w:t>2014), утвержденный и введенный в действие приказом Росстандарта от 26.11.2014 № 1881- ст., который устанавливает общие требования к подготовке проведения государственных закупок МО: видеоэндоскопические комплексы с установками для ультразвуковой и флуоресцентной эндоскопии (далее - ВЭ комплексы), предназначенные для диагностики различных заболеваний в организме человека.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Общество указывает на то, что при описании объекта закупки Заказчик не может включить в обоснование ГОСТ Р 56278-2014, так как такой ГОСТ не имеет никакого отношения к предмету закупки. Закупаемый эндоскопический комплекс не используется в ультразвуковой и флуоресцентной эндоскопии. При описании объекта закупки Заказчиком должен был быть использован «ГОСТ Р 56279-2014. Национальный стандарт Российской Федерации. Изделия медицинские электрические. Стойки эндоскопические. Технические требования для государственных закупок» (далее - ГОСТ Р 56279-2014), утвержденный и введенный в действие приказом Росстандарта от 26.11.2014 № 1882-ст.</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ГОСТ Р 56279-2014 распространяется на эндоскопические стойки, предназначенные для оснащения эндоскопических диагностических отделений с целью проведения лечебно</w:t>
        <w:softHyphen/>
        <w:t>оперативных вмешательств через эндоскоп с помощью специальных инструментов, которые проводятся через инструментальный канал. ГОСТ Р 56279-2014 устанавливает технические требования к ним для государственных закупок.</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Общество считает, что Заказчиком был сформирован объект закупки не в соответствии с требованиями ГОСТ Р 56279-2014, который распространяется на закупки МО и является объектом закупки Заказчика.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и уполномоченное учреждение не согласились с доводом Общества и указали на то, что в соответствии с п. 2 ч. 1 ст. 33 Закона № 44-ФЗ при описании в документации о закупке объекта закупки заказчик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В связи с тем, что национальные стандарты </w:t>
      </w:r>
      <w:r>
        <w:rPr>
          <w:color w:val="000000"/>
          <w:spacing w:val="0"/>
          <w:w w:val="100"/>
          <w:position w:val="0"/>
          <w:sz w:val="20"/>
          <w:szCs w:val="20"/>
          <w:shd w:val="clear" w:color="auto" w:fill="auto"/>
          <w:lang w:val="ru-RU" w:eastAsia="ru-RU" w:bidi="ru-RU"/>
        </w:rPr>
        <w:t>(</w:t>
      </w:r>
      <w:r>
        <w:rPr>
          <w:color w:val="000000"/>
          <w:spacing w:val="0"/>
          <w:w w:val="100"/>
          <w:position w:val="0"/>
          <w:sz w:val="24"/>
          <w:szCs w:val="24"/>
          <w:shd w:val="clear" w:color="auto" w:fill="auto"/>
          <w:lang w:val="ru-RU" w:eastAsia="ru-RU" w:bidi="ru-RU"/>
        </w:rPr>
        <w:t>ГОСТ Р 56278-2014, ГОСТ Р 56279-2014) разработаны и утверждены для добровольного использования, а ст. 33 Закона № 44-ФЗ не обязывает Заказчика использовать конкретные национальные стандарты, Заказчиком применен ГОСТ Р 56278-2014.</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дополнительных пояснениях от 03.05.2023г. № 295 Заказчик указал, что система эндоскопической визуализации необходима в целях оказания первичной специализированной медико-санитарной помощи в амбулаторных условиях по эндоскопии.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УФАС, изучив доводы Общества, приходит к следующему.</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совокупности положений Закона № 44-ФЗ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Закон № 44-ФЗ не содержит норм, ограничивающих право Заказчика включать в документацию требования к объекту закупки, которые являются для него значимыми, и обязывающих Заказчика устанавливать в техническом задании,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7"/>
        <w:keepNext w:val="0"/>
        <w:keepLines w:val="0"/>
        <w:widowControl w:val="0"/>
        <w:shd w:val="clear" w:color="auto" w:fill="auto"/>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Доказательства, опровергающие потребность Заказчика и применение ГОСТ Р 56278</w:t>
        <w:softHyphen/>
        <w:t>2014, в материалы жалобы не представлены. Довод Общества является необоснованным.</w:t>
      </w:r>
    </w:p>
    <w:p>
      <w:pPr>
        <w:pStyle w:val="Style7"/>
        <w:keepNext w:val="0"/>
        <w:keepLines w:val="0"/>
        <w:widowControl w:val="0"/>
        <w:shd w:val="clear" w:color="auto" w:fill="auto"/>
        <w:tabs>
          <w:tab w:pos="566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второму и третьему довода Общества, Заказчик проигнорировал Правила использования Каталога товаров, работ, услуг для обеспечения государственных и муниципальных нужд (далее - Правила использования КТРУ), утвержденные постановлением Правительства Российской Федерации от 08.02.2017</w:t>
        <w:tab/>
        <w:t>№ 145, и Требования к формированию</w:t>
      </w:r>
    </w:p>
    <w:p>
      <w:pPr>
        <w:pStyle w:val="Style7"/>
        <w:keepNext w:val="0"/>
        <w:keepLines w:val="0"/>
        <w:widowControl w:val="0"/>
        <w:shd w:val="clear" w:color="auto" w:fill="auto"/>
        <w:tabs>
          <w:tab w:pos="927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лотов при осуществлении закупок медицинских изделий, являющихся объектом закупки для обеспечения государственных и муниципальных нужд (далее - Требования №</w:t>
        <w:tab/>
        <w:t>620),</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утвержденные постановлением Правительства Российской Федерации от 19.04.2021 № 620.</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мнению Общества, каждая закупаемая позиция товара имеет свой код позиции Каталога товаров, работ, услуг для обеспечения государственных и муниципальных нужд (далее - КТРУ), который должен быть включен в извещение о проведении закупки, а именно:</w:t>
      </w:r>
    </w:p>
    <w:p>
      <w:pPr>
        <w:pStyle w:val="Style7"/>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Процессор видеоизображений для эндоскопии- 26.60.12.119-00000376;</w:t>
      </w:r>
    </w:p>
    <w:p>
      <w:pPr>
        <w:pStyle w:val="Style7"/>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Видеогастроскоп гибкий - 32.50.13.190-00008290;</w:t>
      </w:r>
    </w:p>
    <w:p>
      <w:pPr>
        <w:pStyle w:val="Style7"/>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Тележка медицинская универсальная - 32.50.50.190-00001236;</w:t>
      </w:r>
    </w:p>
    <w:p>
      <w:pPr>
        <w:pStyle w:val="Style7"/>
        <w:keepNext w:val="0"/>
        <w:keepLines w:val="0"/>
        <w:widowControl w:val="0"/>
        <w:numPr>
          <w:ilvl w:val="0"/>
          <w:numId w:val="3"/>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Видеодисплей для эндоскопии - 26.60.12.119-00000389.</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Все указанные позиции товаров, действующие и обязательны к применению.</w:t>
      </w:r>
    </w:p>
    <w:p>
      <w:pPr>
        <w:pStyle w:val="Style7"/>
        <w:keepNext w:val="0"/>
        <w:keepLines w:val="0"/>
        <w:widowControl w:val="0"/>
        <w:shd w:val="clear" w:color="auto" w:fill="auto"/>
        <w:tabs>
          <w:tab w:pos="503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Позиция Видеогастроскоп гибкий -</w:t>
        <w:tab/>
        <w:t>32.50.13.190-00008290 имеет обязательные</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характеристики к применению, который Заказчик во исполнении Правила использования КТРУ обязан включить в описание объекта закупки.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Общество считает, что в силу Требований № 620 установлен запрет на объединение в один лот МО различных видов в соответствии с номенклатурной классификацией медицинских изделий по видам. Объектом закупки не является эндоскопическая стойка, закупка содержит информацию о 4 позициях кода вида МО, НМЦК закупки 6 910 000,00 руб., что превышает предельную сумму, указанную в Требованиях № 620 (1 500 000,00 руб.).</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и Уполномоченного учреждение не согласились с доводами Общества, указав следующее.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Предметом закупки является «Поставка медицинских изделий - система эндоскопической визуализации - ввод в эксплуатацию медицинских изделий, обучение правилам эксплуатации специалистов, эксплуатирующих медицинские изделия».</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осуществляется закупка медицинского изделия и определен перечень МО в предусмотренном к закупке коду КТРУ 26.60.12.119-00000374 с кодом вида медицинского изделия 271790 (Система эндоскопической визуализации).</w:t>
      </w:r>
    </w:p>
    <w:p>
      <w:pPr>
        <w:pStyle w:val="Style7"/>
        <w:keepNext w:val="0"/>
        <w:keepLines w:val="0"/>
        <w:widowControl w:val="0"/>
        <w:shd w:val="clear" w:color="auto" w:fill="auto"/>
        <w:tabs>
          <w:tab w:pos="2549" w:val="left"/>
          <w:tab w:pos="3216" w:val="left"/>
          <w:tab w:pos="5227" w:val="left"/>
          <w:tab w:pos="6139" w:val="left"/>
          <w:tab w:pos="8006" w:val="left"/>
          <w:tab w:pos="8890"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Позиция КТРУ 26.60.12.119-00000374 содержит следующее описание: 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w:t>
        <w:tab/>
        <w:t>и</w:t>
        <w:tab/>
        <w:t>видеодисплея.</w:t>
        <w:tab/>
        <w:t>Все</w:t>
        <w:tab/>
        <w:t>компоненты,</w:t>
        <w:tab/>
        <w:t>как</w:t>
        <w:tab/>
        <w:t>правило,</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размещаются/устанавливаются на специальной тележке, которую можно перемещать в различные помещения для проведения осмотра/терапевтических процедур.</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исходя из своих потребностей, необходимости бесперебойного и своевременного оснащения оборудование, выбрано МО: Система эндоскопической визуализации в следующей комплектации: видеогастроскоп в количестве 3 шт., видеопроцессор с источником света, видеомонитор, аппаратная стойка, которое работает в комплекте без дополнительных переходников.</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Данная система является одним видом медицинского изделия и представляет собой комплект работающих от сети устройств, а указанные в описании объекта закупки </w:t>
      </w:r>
      <w:r>
        <w:rPr>
          <w:color w:val="000000"/>
          <w:spacing w:val="0"/>
          <w:w w:val="100"/>
          <w:position w:val="0"/>
          <w:sz w:val="24"/>
          <w:szCs w:val="24"/>
          <w:shd w:val="clear" w:color="auto" w:fill="auto"/>
          <w:lang w:val="ru-RU" w:eastAsia="ru-RU" w:bidi="ru-RU"/>
        </w:rPr>
        <w:t>медицинские изделия являются составными частями данной системы (комплекта), не могут быть использованы друг без друга, их совместное применение предусмотрено инструкцией по применению и иной эксплуатационной документацией производителя.</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УФАС, изучив материалы жалобы Общества, не установила нарушений Закона № 44-ФЗ ввиду следующего.</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 3 Правил использования КТРУ заказчик вправе применять информацию, которая включена в позицию КТРУ, с даты ее включения в КТРУ независимо от даты обязательного ее применения в соответствии с п.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утвержденных постановлением Правительства Российской Федерации от 08.02.2017 № 145.</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 4 Правил использования КТРУ Заказчики обязаны применять информацию, включенную в позицию каталога в соответствии с п.п. "б" - "г" и "е" - "з" п.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7"/>
        <w:keepNext w:val="0"/>
        <w:keepLines w:val="0"/>
        <w:widowControl w:val="0"/>
        <w:numPr>
          <w:ilvl w:val="0"/>
          <w:numId w:val="5"/>
        </w:numPr>
        <w:shd w:val="clear" w:color="auto" w:fill="auto"/>
        <w:tabs>
          <w:tab w:pos="88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7"/>
        <w:keepNext w:val="0"/>
        <w:keepLines w:val="0"/>
        <w:widowControl w:val="0"/>
        <w:numPr>
          <w:ilvl w:val="0"/>
          <w:numId w:val="5"/>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7"/>
        <w:keepNext w:val="0"/>
        <w:keepLines w:val="0"/>
        <w:widowControl w:val="0"/>
        <w:numPr>
          <w:ilvl w:val="0"/>
          <w:numId w:val="5"/>
        </w:numPr>
        <w:shd w:val="clear" w:color="auto" w:fill="auto"/>
        <w:tabs>
          <w:tab w:pos="89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7"/>
        <w:keepNext w:val="0"/>
        <w:keepLines w:val="0"/>
        <w:widowControl w:val="0"/>
        <w:shd w:val="clear" w:color="auto" w:fill="auto"/>
        <w:tabs>
          <w:tab w:pos="4864" w:val="left"/>
          <w:tab w:pos="6754" w:val="left"/>
          <w:tab w:pos="8002" w:val="left"/>
          <w:tab w:pos="8386" w:val="left"/>
          <w:tab w:pos="9255"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 5 Правил использования КТРУ заказчик вправе указать в извещении об осуществлении закупки, приглашении</w:t>
        <w:tab/>
        <w:t>и документации</w:t>
        <w:tab/>
        <w:t>о закупке</w:t>
        <w:tab/>
        <w:t>(в</w:t>
        <w:tab/>
        <w:t>случае</w:t>
        <w:tab/>
        <w:t>если</w:t>
      </w:r>
    </w:p>
    <w:p>
      <w:pPr>
        <w:pStyle w:val="Style7"/>
        <w:keepNext w:val="0"/>
        <w:keepLines w:val="0"/>
        <w:widowControl w:val="0"/>
        <w:shd w:val="clear" w:color="auto" w:fill="auto"/>
        <w:tabs>
          <w:tab w:pos="4864" w:val="left"/>
          <w:tab w:pos="8002" w:val="left"/>
          <w:tab w:pos="9163"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Федеральным законом предусмотрена документация о закупке) дополнительную информацию, а также дополнительные</w:t>
        <w:tab/>
        <w:t>потребительские свойства,</w:t>
        <w:tab/>
        <w:t>в том</w:t>
        <w:tab/>
        <w:t>числе</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функциональные, технические, качественные, эксплуатационные характеристики товара, работы, услуги (далее - дополнительная информация) в соответствии с положениями ст. 33 Закона № 44-ФЗ, которые не предусмотрены в позиции каталога, за исключением случаев:</w:t>
      </w:r>
    </w:p>
    <w:p>
      <w:pPr>
        <w:pStyle w:val="Style7"/>
        <w:keepNext w:val="0"/>
        <w:keepLines w:val="0"/>
        <w:widowControl w:val="0"/>
        <w:numPr>
          <w:ilvl w:val="0"/>
          <w:numId w:val="7"/>
        </w:numPr>
        <w:shd w:val="clear" w:color="auto" w:fill="auto"/>
        <w:tabs>
          <w:tab w:pos="884" w:val="left"/>
          <w:tab w:pos="4440" w:val="left"/>
          <w:tab w:pos="486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осуществления закупки радиоэлектронной продукции, включенной в п.п.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30.04.2020</w:t>
        <w:tab/>
        <w:t>№</w:t>
        <w:tab/>
        <w:t>616 «Об установлении запрета на допуск</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7"/>
        <w:keepNext w:val="0"/>
        <w:keepLines w:val="0"/>
        <w:widowControl w:val="0"/>
        <w:numPr>
          <w:ilvl w:val="0"/>
          <w:numId w:val="7"/>
        </w:numPr>
        <w:shd w:val="clear" w:color="auto" w:fill="auto"/>
        <w:tabs>
          <w:tab w:pos="89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 44-ФЗ.</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 6 Правил использования КТРУ в случае предоставления дополнительной информации, предусмотренной п.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КТРУ).</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 44-ФЗ.</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статьи 134 Гражданского Кодекса Российской Федерации если различные вещи соединены таким образом, который предполагает их использование по общему назначению (сложная вещь), то действие сделки, совершенной по поводу сложной вещи, распространяется на все входящие в нее вещи, поскольку условиями сделки не предусмотрено иное.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при описании объекта закупки включил дополнительную информацию о товаре и обосновал необходимость использования такой информации. Потребность Заказчика в оказании качественной медицинской помощи путем использования Системы эндоскопической визуализации не опровергнута.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Исходя из того, что Заказчиком осуществляется закупка сложной вещи по смыслу статьи 134 Гражданского кодекса Российской Федерации, поскольку необходимый Заказчику и его пациентам терапевтический/лечебный эффект при использовании Системы эндоскопической визуализации достигается лишь при использовании совместимого между собой оборудования и инструментов, ввиду того, что описание объекта закупки (которое фактически конкретизирует совокупность закупаемых Заказчиком товаров) не противоречит Требованиям № 620.</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Доказательства, свидетельствующие о нарушении требований законодательства о контрактной системе в сфере закупок и прав Заявителя на участие в закупке, в Комиссию УФАС не представлено.</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Иных нарушений не выявлено.</w:t>
      </w:r>
    </w:p>
    <w:p>
      <w:pPr>
        <w:pStyle w:val="Style7"/>
        <w:keepNext w:val="0"/>
        <w:keepLines w:val="0"/>
        <w:widowControl w:val="0"/>
        <w:shd w:val="clear" w:color="auto" w:fill="auto"/>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На основании изложенного и руководствуясь ст. 106 Закона № 44-ФЗ, Правилами № 1576, Административным регламентом, Комиссия УФАС</w:t>
      </w:r>
    </w:p>
    <w:p>
      <w:pPr>
        <w:pStyle w:val="Style11"/>
        <w:keepNext/>
        <w:keepLines/>
        <w:widowControl w:val="0"/>
        <w:shd w:val="clear" w:color="auto" w:fill="auto"/>
        <w:bidi w:val="0"/>
        <w:spacing w:before="0" w:after="120" w:line="240" w:lineRule="auto"/>
        <w:ind w:left="0" w:right="0" w:firstLine="0"/>
        <w:jc w:val="center"/>
      </w:pPr>
      <w:bookmarkStart w:id="20" w:name="bookmark20"/>
      <w:r>
        <w:rPr>
          <w:color w:val="000000"/>
          <w:spacing w:val="0"/>
          <w:w w:val="100"/>
          <w:position w:val="0"/>
          <w:sz w:val="24"/>
          <w:szCs w:val="24"/>
          <w:shd w:val="clear" w:color="auto" w:fill="auto"/>
          <w:lang w:val="ru-RU" w:eastAsia="ru-RU" w:bidi="ru-RU"/>
        </w:rPr>
        <w:t>Р Е Ш И Л А:</w:t>
      </w:r>
      <w:bookmarkEnd w:id="20"/>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1. Признать жалобу ООО «АПГРЕЙТ» необоснованной.</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2. Отменить приостановление определения поставщика (подрядчика, исполнителя) в части подписания контракта.</w:t>
      </w:r>
    </w:p>
    <w:p>
      <w:pPr>
        <w:pStyle w:val="Style7"/>
        <w:keepNext w:val="0"/>
        <w:keepLines w:val="0"/>
        <w:widowControl w:val="0"/>
        <w:shd w:val="clear" w:color="auto" w:fill="auto"/>
        <w:bidi w:val="0"/>
        <w:spacing w:before="0" w:after="62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tbl>
      <w:tblPr>
        <w:tblOverlap w:val="never"/>
        <w:jc w:val="center"/>
        <w:tblLayout w:type="fixed"/>
      </w:tblPr>
      <w:tblGrid>
        <w:gridCol w:w="3451"/>
        <w:gridCol w:w="2554"/>
        <w:gridCol w:w="2736"/>
      </w:tblGrid>
      <w:tr>
        <w:trPr>
          <w:trHeight w:val="403" w:hRule="exact"/>
        </w:trPr>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940"/>
              <w:jc w:val="left"/>
            </w:pPr>
            <w:r>
              <w:rPr>
                <w:i/>
                <w:iCs/>
                <w:color w:val="000000"/>
                <w:spacing w:val="0"/>
                <w:w w:val="100"/>
                <w:position w:val="0"/>
                <w:sz w:val="24"/>
                <w:szCs w:val="24"/>
                <w:shd w:val="clear" w:color="auto" w:fill="auto"/>
                <w:lang w:val="ru-RU" w:eastAsia="ru-RU" w:bidi="ru-RU"/>
              </w:rPr>
              <w:t>подпись</w:t>
            </w:r>
          </w:p>
        </w:tc>
        <w:tc>
          <w:tcPr>
            <w:tcBorders/>
            <w:shd w:val="clear" w:color="auto" w:fill="auto"/>
            <w:vAlign w:val="top"/>
          </w:tcPr>
          <w:p>
            <w:pPr>
              <w:pStyle w:val="Style14"/>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А.А. Ростиславова</w:t>
            </w:r>
          </w:p>
        </w:tc>
      </w:tr>
      <w:tr>
        <w:trPr>
          <w:trHeight w:val="538" w:hRule="exact"/>
        </w:trPr>
        <w:tc>
          <w:tcPr>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940"/>
              <w:jc w:val="left"/>
            </w:pPr>
            <w:r>
              <w:rPr>
                <w:i/>
                <w:iCs/>
                <w:color w:val="000000"/>
                <w:spacing w:val="0"/>
                <w:w w:val="100"/>
                <w:position w:val="0"/>
                <w:sz w:val="24"/>
                <w:szCs w:val="24"/>
                <w:shd w:val="clear" w:color="auto" w:fill="auto"/>
                <w:lang w:val="ru-RU" w:eastAsia="ru-RU" w:bidi="ru-RU"/>
              </w:rPr>
              <w:t>подпись</w:t>
            </w:r>
          </w:p>
        </w:tc>
        <w:tc>
          <w:tcPr>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И.А. Смышляева</w:t>
            </w:r>
          </w:p>
        </w:tc>
      </w:tr>
      <w:tr>
        <w:trPr>
          <w:trHeight w:val="442" w:hRule="exact"/>
        </w:trPr>
        <w:tc>
          <w:tcPr>
            <w:tcBorders/>
            <w:shd w:val="clear" w:color="auto" w:fill="auto"/>
            <w:vAlign w:val="top"/>
          </w:tcPr>
          <w:p>
            <w:pPr>
              <w:widowControl w:val="0"/>
              <w:rPr>
                <w:sz w:val="10"/>
                <w:szCs w:val="10"/>
              </w:rPr>
            </w:pPr>
          </w:p>
        </w:tc>
        <w:tc>
          <w:tcPr>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940"/>
              <w:jc w:val="left"/>
            </w:pPr>
            <w:r>
              <w:rPr>
                <w:i/>
                <w:iCs/>
                <w:color w:val="000000"/>
                <w:spacing w:val="0"/>
                <w:w w:val="100"/>
                <w:position w:val="0"/>
                <w:sz w:val="24"/>
                <w:szCs w:val="24"/>
                <w:shd w:val="clear" w:color="auto" w:fill="auto"/>
                <w:lang w:val="ru-RU" w:eastAsia="ru-RU" w:bidi="ru-RU"/>
              </w:rPr>
              <w:t>подпись</w:t>
            </w:r>
          </w:p>
        </w:tc>
        <w:tc>
          <w:tcPr>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800"/>
              <w:jc w:val="left"/>
            </w:pPr>
            <w:r>
              <w:rPr>
                <w:color w:val="000000"/>
                <w:spacing w:val="0"/>
                <w:w w:val="100"/>
                <w:position w:val="0"/>
                <w:sz w:val="24"/>
                <w:szCs w:val="24"/>
                <w:shd w:val="clear" w:color="auto" w:fill="auto"/>
                <w:lang w:val="ru-RU" w:eastAsia="ru-RU" w:bidi="ru-RU"/>
              </w:rPr>
              <w:t>О.Н. Сучков</w:t>
            </w:r>
          </w:p>
        </w:tc>
      </w:tr>
    </w:tbl>
    <w:sectPr>
      <w:footerReference w:type="default" r:id="rId7"/>
      <w:footerReference w:type="first" r:id="rId8"/>
      <w:footnotePr>
        <w:pos w:val="pageBottom"/>
        <w:numFmt w:val="decimal"/>
        <w:numRestart w:val="continuous"/>
      </w:footnotePr>
      <w:pgSz w:w="11900" w:h="16840"/>
      <w:pgMar w:top="516" w:right="817" w:bottom="745" w:left="1242"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3888740</wp:posOffset>
              </wp:positionH>
              <wp:positionV relativeFrom="page">
                <wp:posOffset>10416540</wp:posOffset>
              </wp:positionV>
              <wp:extent cx="45720" cy="67310"/>
              <wp:wrapNone/>
              <wp:docPr id="2" name="Shape 2"/>
              <a:graphic xmlns:a="http://schemas.openxmlformats.org/drawingml/2006/main">
                <a:graphicData uri="http://schemas.microsoft.com/office/word/2010/wordprocessingShape">
                  <wps:wsp>
                    <wps:cNvSpPr txBox="1"/>
                    <wps:spPr>
                      <a:xfrm>
                        <a:ext cx="45720" cy="67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6.19999999999999pt;margin-top:820.20000000000005pt;width:3.6000000000000001pt;height:5.2999999999999998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862330</wp:posOffset>
              </wp:positionH>
              <wp:positionV relativeFrom="page">
                <wp:posOffset>10353675</wp:posOffset>
              </wp:positionV>
              <wp:extent cx="6096000" cy="0"/>
              <wp:wrapNone/>
              <wp:docPr id="4" name="Shape 4"/>
              <a:graphic xmlns:a="http://schemas.openxmlformats.org/drawingml/2006/main">
                <a:graphicData uri="http://schemas.microsoft.com/office/word/2010/wordprocessingShape">
                  <wps:wsp>
                    <wps:cNvCnPr/>
                    <wps:spPr>
                      <a:xfrm>
                        <a:ext cx="6096000" cy="0"/>
                      </a:xfrm>
                      <a:prstGeom prst="straightConnector1"/>
                      <a:ln w="12700">
                        <a:solidFill/>
                      </a:ln>
                    </wps:spPr>
                    <wps:bodyPr/>
                  </wps:wsp>
                </a:graphicData>
              </a:graphic>
            </wp:anchor>
          </w:drawing>
        </mc:Choice>
        <mc:Fallback>
          <w:pict>
            <v:shape o:spt="32" o:oned="true" path="m,l21600,21600e" style="position:absolute;margin-left:67.900000000000006pt;margin-top:815.25pt;width:480.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3902710</wp:posOffset>
              </wp:positionH>
              <wp:positionV relativeFrom="page">
                <wp:posOffset>10267315</wp:posOffset>
              </wp:positionV>
              <wp:extent cx="24130" cy="69850"/>
              <wp:wrapNone/>
              <wp:docPr id="5" name="Shape 5"/>
              <a:graphic xmlns:a="http://schemas.openxmlformats.org/drawingml/2006/main">
                <a:graphicData uri="http://schemas.microsoft.com/office/word/2010/wordprocessingShape">
                  <wps:wsp>
                    <wps:cNvSpPr txBox="1"/>
                    <wps:spPr>
                      <a:xfrm>
                        <a:ext cx="2413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7.30000000000001pt;margin-top:808.45000000000005pt;width:1.9000000000000001pt;height:5.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863600</wp:posOffset>
              </wp:positionH>
              <wp:positionV relativeFrom="page">
                <wp:posOffset>10240645</wp:posOffset>
              </wp:positionV>
              <wp:extent cx="6099175" cy="0"/>
              <wp:wrapNone/>
              <wp:docPr id="7" name="Shape 7"/>
              <a:graphic xmlns:a="http://schemas.openxmlformats.org/drawingml/2006/main">
                <a:graphicData uri="http://schemas.microsoft.com/office/word/2010/wordprocessingShape">
                  <wps:wsp>
                    <wps:cNvCnPr/>
                    <wps:spPr>
                      <a:xfrm>
                        <a:ext cx="6099175" cy="0"/>
                      </a:xfrm>
                      <a:prstGeom prst="straightConnector1"/>
                      <a:ln w="12700">
                        <a:solidFill/>
                      </a:ln>
                    </wps:spPr>
                    <wps:bodyPr/>
                  </wps:wsp>
                </a:graphicData>
              </a:graphic>
            </wp:anchor>
          </w:drawing>
        </mc:Choice>
        <mc:Fallback>
          <w:pict>
            <v:shape o:spt="32" o:oned="true" path="m,l21600,21600e" style="position:absolute;margin-left:68.pt;margin-top:806.35000000000002pt;width:480.2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Заголовок №1_"/>
    <w:basedOn w:val="DefaultParagraphFont"/>
    <w:link w:val="Style5"/>
    <w:rPr>
      <w:rFonts w:ascii="Times New Roman" w:eastAsia="Times New Roman" w:hAnsi="Times New Roman" w:cs="Times New Roman"/>
      <w:b/>
      <w:bCs/>
      <w:i w:val="0"/>
      <w:iCs w:val="0"/>
      <w:smallCaps w:val="0"/>
      <w:strike w:val="0"/>
      <w:sz w:val="28"/>
      <w:szCs w:val="28"/>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2">
    <w:name w:val="Заголовок №2_"/>
    <w:basedOn w:val="DefaultParagraphFont"/>
    <w:link w:val="Style11"/>
    <w:rPr>
      <w:rFonts w:ascii="Times New Roman" w:eastAsia="Times New Roman" w:hAnsi="Times New Roman" w:cs="Times New Roman"/>
      <w:b/>
      <w:bCs/>
      <w:i w:val="0"/>
      <w:iCs w:val="0"/>
      <w:smallCaps w:val="0"/>
      <w:strike w:val="0"/>
      <w:u w:val="none"/>
    </w:rPr>
  </w:style>
  <w:style w:type="character" w:customStyle="1" w:styleId="CharStyle15">
    <w:name w:val="Другое_"/>
    <w:basedOn w:val="DefaultParagraphFont"/>
    <w:link w:val="Style14"/>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Заголовок №1"/>
    <w:basedOn w:val="Normal"/>
    <w:link w:val="CharStyle6"/>
    <w:pPr>
      <w:widowControl w:val="0"/>
      <w:shd w:val="clear" w:color="auto" w:fill="auto"/>
      <w:spacing w:after="12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Заголовок №2"/>
    <w:basedOn w:val="Normal"/>
    <w:link w:val="CharStyle12"/>
    <w:pPr>
      <w:widowControl w:val="0"/>
      <w:shd w:val="clear" w:color="auto" w:fill="auto"/>
      <w:ind w:left="4840"/>
      <w:outlineLvl w:val="1"/>
    </w:pPr>
    <w:rPr>
      <w:rFonts w:ascii="Times New Roman" w:eastAsia="Times New Roman" w:hAnsi="Times New Roman" w:cs="Times New Roman"/>
      <w:b/>
      <w:bCs/>
      <w:i w:val="0"/>
      <w:iCs w:val="0"/>
      <w:smallCaps w:val="0"/>
      <w:strike w:val="0"/>
      <w:u w:val="none"/>
    </w:rPr>
  </w:style>
  <w:style w:type="paragraph" w:customStyle="1" w:styleId="Style14">
    <w:name w:val="Другое"/>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Начальнику управления по кадровой</dc:title>
  <dc:subject/>
  <dc:creator>Celeron IV</dc:creator>
  <cp:keywords/>
</cp:coreProperties>
</file>