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1787525</wp:posOffset>
            </wp:positionH>
            <wp:positionV relativeFrom="paragraph">
              <wp:posOffset>12700</wp:posOffset>
            </wp:positionV>
            <wp:extent cx="5245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614680</wp:posOffset>
                </wp:positionV>
                <wp:extent cx="2581275" cy="18554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185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1о77@Га8.гоу.ги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4" w:val="left"/>
                                <w:tab w:leader="underscore" w:pos="393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200000000000003pt;margin-top:48.399999999999999pt;width:203.25pt;height:146.09999999999999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1о77@Га8.гоу.ги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4" w:val="left"/>
                          <w:tab w:leader="underscore" w:pos="393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Волков А.А.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33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»о1ко» 1еЫег@'та11.ги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«КДЦ № 4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Ыс4 @хдгам тоз.ги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Москва,ул Кожевническая 14, стр. 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2" w:right="528" w:bottom="708" w:left="520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ко@гозеИогд.ги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2" w:right="0" w:bottom="6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framePr w:w="4065" w:h="204" w:wrap="none" w:vAnchor="text" w:hAnchor="page" w:x="11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8150" distB="0" distL="5715" distR="0" simplePos="0" relativeHeight="62914694" behindDoc="1" locked="0" layoutInCell="1" allowOverlap="1">
            <wp:simplePos x="0" y="0"/>
            <wp:positionH relativeFrom="page">
              <wp:posOffset>732155</wp:posOffset>
            </wp:positionH>
            <wp:positionV relativeFrom="paragraph">
              <wp:posOffset>450850</wp:posOffset>
            </wp:positionV>
            <wp:extent cx="2590800" cy="17653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1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2" w:right="528" w:bottom="650" w:left="11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6" w:right="0" w:bottom="7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2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№077/06/106-ММ/5/2023 о нарушении</w:t>
        <w:br/>
        <w:t>законодательства о контрактной системе</w:t>
        <w:br/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ИП Волков А.А. и ГБУЗ «КДЦ № 4 ДЗМ»,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Волков А.А. (далее - Заявитель) на действия ГБУЗ «КДЦ № 4 ДЗМ» (далее — Заказчик) при проведении электронного аукциона на право заключения государственного контракта на поставку дозаторов сенсорных в рамках проекта "Новый Московский стандарт поликлиник" для нужд ГБУЗ «КДЦ № 4 ДЗМ» (Закупка № 0373200153123000069)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292100" distB="0" distL="0" distR="0" simplePos="0" relativeHeight="125829381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292100</wp:posOffset>
            </wp:positionV>
            <wp:extent cx="1511935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Заказчиком нарушены правила описания объекта закупки, а именно установленная характеристика поставляемого товара «Дозатор жидких средств бытовой»: «Тип корпуса: антивандальный цельнолитой (оснащен нажимным замком + ключом безопасности), цельнолитой (не имеет острых и прямых углов травмобезопасные радиусные скругления 3-4 мм)» является излишней и не имеет обоснования ее применения.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7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установлено, что согласно извещению о проведении электронного аукциона от 18.04.2023</w:t>
        <w:tab/>
        <w:t>№0373200153123000069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поставляемому товару согласно Техническому заданию соответствует код позиции КТРУ 25.99.12.112-00000127 «Дозатор жидких средств бытовой».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Постановлением Правительства Российской Федерации от 08.02.2017 № 145 (далее — постановление Правительства РФ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2022-56260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«и» п.10 Правил формирования КТРУ;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техническом задании об осуществлении закупки установлены следующие характеристики закупаемого товара: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Диспенсер для антисептика бесконтактный автоматический сенсорный. Корпус: Габаритные размеры (ШхГхВ): 275+/-5 х105+/-5х 95+/-5 мм Материал: нержавеющая сталь А181 304 толщиной 1,2 мм (цвет - белый, порошковая окраска); Тип корпуса: антивандальный цельнолитой (оснащен нажимным замком + ключом безопасности), цельнолитой (не имеет острых и прямых углов травмобезопасные радиусные скругления 3-4 мм); Тип монтажа: настенный (вертикально).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Материал емкости для антисептика: непрозрачный пластик белого цвета (подходит для дезинфицирующих средств на спиртовой основе); Объем: не менее 1000 мл и не более 1100 мл; Механизм: сенсорный бесконтактный автоматический (инфракрасный датчик), работает от батареек; Расход антисептика: в диапазоне 0,5-1,0 мл.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Высота: &gt; 90 &lt; 100 мм. Длина: &gt; 100 &lt; 110 мм. Материал корпуса: Металл. Наличие замка: Да. Объем: &gt; 1000 &lt;= 1200 см[3*];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мл. Питание: От батареек. Тип: Автоматический (сенсорный). Тип размещения: На стену. Ширина: &gt; 270 &lt; 280 мм.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КТРУ 25.99.12.112-00000127 «Дозатор жидких средств бытовой» содержит следующие обязательные для применения характеристики товара: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Объем: &gt; 200 и &lt; 400; &gt; 400 и &lt; 600; &gt; 600 и &lt; 800; &gt; 800 и &lt; 1000; &gt; 1000 и &lt; 1200; &gt; 1200 (Кубический сантиметр;Лмиллилитр);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Тип: Автоматический (сенсорный).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п.6 Правил использования КТРУ установлено, что в случае установления Заказчиком характеристики, параметров характеристики не предусмотренных в позиции каталога, то Заказчику необходимо разместить обоснование необходимости использования такой характеристики.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описании позиции КТРУ 25.99.12.112-00000127 отсутствуют характеристики, в частности: Материал: нержавеющая сталь А181 304 толщиной 1,2 мм (цвет - белый, порошковая окраска); Тип корпуса: антивандальный цельнолитой (оснащен нажимным замком + ключом безопасности), цельнолитой, что в силу п.6 Правил использования КТРУ обязывает Заказчика включить в описание товара, работы, услуги обоснование необходимости использования такой информации.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6" w:right="467" w:bottom="793" w:left="67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то же время Комиссия Управления отмечает, что техническая часть извещения содержит обоснование применения дополнительных характеристик для поставляемого товара, а именно: «В соответствии с ч. 1 ст. 33 Закона №44- 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2022-56260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объекта закупки для реализации программы "Новый московский стандарт поликлиник" и дополняют характеристики закупаемого товара, не изменяя и не противореча характеристикам, указанным в КТРУ».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вышеуказанное обоснование установления дополнительных характеристик для поставляемого товара противоречит п.6 Правил использования КТРУ и не отражает действительную потребность Заказчика в используемых дополнительных характеристиках.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извещение данной закупочной процедуры установлено в нарушение п.1,2 ч.1 ст.33, ч.6 ст.23 Закона о контрактной системе и содержит признаки состава административного правонарушения, предусмотренного ч.4.2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Волков А.А. на действия ГБУЗ «КДЦ № 4 ДЗМ»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п.1,2 ч.1 ст.33, ч.6 ст.23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5926455</wp:posOffset>
                </wp:positionH>
                <wp:positionV relativeFrom="paragraph">
                  <wp:posOffset>12700</wp:posOffset>
                </wp:positionV>
                <wp:extent cx="1298575" cy="9512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8575" cy="951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6.65000000000003pt;margin-top:1.pt;width:102.25pt;height:74.900000000000006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headerReference w:type="default" r:id="rId15"/>
      <w:footerReference w:type="default" r:id="rId16"/>
      <w:footnotePr>
        <w:pos w:val="pageBottom"/>
        <w:numFmt w:val="decimal"/>
        <w:numRestart w:val="continuous"/>
      </w:footnotePr>
      <w:pgSz w:w="11900" w:h="16840"/>
      <w:pgMar w:top="1086" w:right="467" w:bottom="793" w:left="67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10217150</wp:posOffset>
              </wp:positionV>
              <wp:extent cx="728980" cy="996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980" cy="996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2022-56260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804.5pt;width:57.399999999999999pt;height:7.850000000000000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2022-56260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452120</wp:posOffset>
              </wp:positionH>
              <wp:positionV relativeFrom="page">
                <wp:posOffset>10196195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2022-56260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5.600000000000001pt;margin-top:802.85000000000002pt;width:57.100000000000001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2022-56260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3809365</wp:posOffset>
              </wp:positionH>
              <wp:positionV relativeFrom="page">
                <wp:posOffset>405765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9.94999999999999pt;margin-top:31.949999999999999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3808095</wp:posOffset>
              </wp:positionH>
              <wp:positionV relativeFrom="page">
                <wp:posOffset>579755</wp:posOffset>
              </wp:positionV>
              <wp:extent cx="6985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99.85000000000002pt;margin-top:45.649999999999999pt;width:5.5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7">
    <w:name w:val="Основной текст (3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/Relationships>
</file>