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1787525</wp:posOffset>
            </wp:positionH>
            <wp:positionV relativeFrom="paragraph">
              <wp:posOffset>12700</wp:posOffset>
            </wp:positionV>
            <wp:extent cx="5245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614680</wp:posOffset>
                </wp:positionV>
                <wp:extent cx="2581275" cy="185547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275" cy="185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1о77@Га8.гоу.ги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4" w:val="left"/>
                                <w:tab w:leader="underscore" w:pos="3931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200000000000003pt;margin-top:48.399999999999999pt;width:203.25pt;height:146.09999999999999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4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1о77@Га8.гоу.ги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4" w:val="left"/>
                          <w:tab w:leader="underscore" w:pos="3931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Волков А.А.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33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«о1ко« 1еЫег@'та11.ги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23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др23дод@таП.ги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Москва,ул Кожевническая 14, стр. 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2" w:right="528" w:bottom="1379" w:left="5209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ко@гозеИогд.ги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2" w:right="0" w:bottom="6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framePr w:w="4065" w:h="204" w:wrap="none" w:vAnchor="text" w:hAnchor="page" w:x="11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38150" distB="0" distL="5715" distR="0" simplePos="0" relativeHeight="62914692" behindDoc="1" locked="0" layoutInCell="1" allowOverlap="1">
            <wp:simplePos x="0" y="0"/>
            <wp:positionH relativeFrom="page">
              <wp:posOffset>732155</wp:posOffset>
            </wp:positionH>
            <wp:positionV relativeFrom="paragraph">
              <wp:posOffset>450850</wp:posOffset>
            </wp:positionV>
            <wp:extent cx="2590800" cy="17653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1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2" w:right="528" w:bottom="650" w:left="61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2" w:right="0" w:bottom="7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№077/06/106-ММ/6/2023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442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6694805</wp:posOffset>
                </wp:positionH>
                <wp:positionV relativeFrom="paragraph">
                  <wp:posOffset>12700</wp:posOffset>
                </wp:positionV>
                <wp:extent cx="526415" cy="2146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6415" cy="214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отдела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27.14999999999998pt;margin-top:1.pt;width:41.450000000000003pt;height:16.89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отдела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mc:AlternateContent>
          <mc:Choice Requires="wps">
            <w:drawing>
              <wp:anchor distT="0" distB="0" distL="50800" distR="50800" simplePos="0" relativeHeight="125829383" behindDoc="0" locked="0" layoutInCell="1" allowOverlap="1">
                <wp:simplePos x="0" y="0"/>
                <wp:positionH relativeFrom="page">
                  <wp:posOffset>6600825</wp:posOffset>
                </wp:positionH>
                <wp:positionV relativeFrom="paragraph">
                  <wp:posOffset>12700</wp:posOffset>
                </wp:positionV>
                <wp:extent cx="620395" cy="22034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0395" cy="220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закупок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9.75pt;margin-top:1.pt;width:48.850000000000001pt;height:17.350000000000001pt;z-index:-125829370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закупок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mc:AlternateContent>
          <mc:Choice Requires="wps">
            <w:drawing>
              <wp:anchor distT="0" distB="0" distL="38100" distR="38100" simplePos="0" relativeHeight="125829385" behindDoc="0" locked="0" layoutInCell="1" allowOverlap="1">
                <wp:simplePos x="0" y="0"/>
                <wp:positionH relativeFrom="page">
                  <wp:posOffset>6600825</wp:posOffset>
                </wp:positionH>
                <wp:positionV relativeFrom="paragraph">
                  <wp:posOffset>12700</wp:posOffset>
                </wp:positionV>
                <wp:extent cx="617220" cy="22034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7220" cy="220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закупок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9.75pt;margin-top:1.pt;width:48.600000000000001pt;height:17.350000000000001pt;z-index:-125829368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закупок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ИП Волков А.А. и ГБУЗ «ГП № 23 ДЗМ»,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0" w:right="0" w:firstLine="6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2" w:right="528" w:bottom="750" w:left="61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Волков А.А. (далее - Заявитель) на действия ГБУЗ «ГП № 23 ДЗМ» (далее — Заказчик) при проведении электронного аукциона на право заключения государственного контракта на поставку прочего оборудования (дозаторы) в рамках реализации Государственной программы города Москвы «Новый Московский стандарт поликлиник» для нужд Филиала № 2 ГБУЗ «ГП № 23 ДЗМ» в 2023г. (Закупка № 0373200087423000039)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26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установленные Заказчиком в Техническом задании характеристики «Длина: &gt; 85 &lt; 95 мм, Ширина: &gt; 95 &lt; 110 мм» поставляемого товара «Дозатор жидких средств бытовой» не соответствуют ни одному дозатору.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характеристики «Длина: &gt; 85 &lt; 95 мм, Ширина: &gt; 95 &lt; 110 мм» имеются у следующих производителей дозаторов: Дозатор УоГег 03039.В, 03039.Ш (длина: 95 мм., ширина: 105 мм) и дозатор Кл1е\ АЖ-7961М (длина: 95 (93) мм., ширина: 105 мм).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Обязанность доказывания нарушения Заказчиком своих прав и законных интересов лежит на подателе жалобы, однако, в составе жалобы Заявителем не указаны характеристики, препятствующие предложению к поставке изделий иного производства, кроме того, не представлено документов и сведений, так , например, сравнительная таблица с характеристиками товаров иных производителей, свидетельствующая однозначным образом о том, что такие товары не соответствуют условиям технической части извещения, а также не представлено документов и доказательств, свидетельствующих об ограничении количества участников закупки и о нарушении Заказчиком норм законодательства об осуществлении закупок,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Заявителя, установленная в Техническом задании характеристика: «Установка дозировки подачи раствора: Да» некорректна, так как встроенная помпа уже настроена на дозировку средства в интервале 0,5 - 1 мл. Также, установленная характеристика «Цвет - по согласованию с заказчиком на момент поставки» является неправомерной, поскольку такой параметр как цвет требует конкретизации до начала проведения торгов для определения соответствия поставляемого товара требованиям Заказчика согласно ч.2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установлено, что согласно извещению о проведении данного электронного аукциона поставляемому товару согласно Техническому заданию соответствует код позиции КТРУ 25.99.12.112-00000127 «Дозатор жидких средств бытовой».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ч.5 ст.23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исполнительной власти по регулированию контрактной системы в сфере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(далее — постановление Правительства РФ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«и» п.10 Правил формирования КТРУ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КТРУ 25.99.12.112-00000127 «Дозатор жидких средств бытовой» содержит следующие обязательные для применения характеристики товара: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Объем: &gt; 200 и &lt; 400; &gt; 400 и &lt; 600; &gt; 600 и &lt; 800; &gt; 800 и &lt; 1000; &gt; 1000 и &lt; 1200; &gt; 1200 (Кубический сантиметр;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миллилитр);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Тип: Автоматический (сенсорный).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п.6 Правил использования КТРУ установлено, что в случае установления Заказчиком характеристики, параметров характеристики не предусмотренных в позиции каталога, то Заказчику необходимо разместить обоснование необходимости использования такой характеристики.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описании позиции КТРУ 25.99.12.112-00000127 отсутствуют характеристики: «Установка дозировки подачи раствора»; «Цвет» , что в силу п.6 Правил использования КТРУ обязывает Заказчика включить в описание товара, работы, услуги обоснование необходимости использования такой информации.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 Комиссия Управления отмечает, что техническая часть извещения содержит обоснование применения дополнительных характеристик для поставляемого товара, а именно: «В соответствии с ч. 1 ст. 33 Закона №44- 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 для реализации программы "Новый московский стандарт поликлиник" и дополняют характеристики закупаемого товара, не изменяя и не противореча характеристикам, указанным в КТРУ».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вышеуказанное обоснование установления дополнительных характеристик для поставляемого товара противоречит п.6 Правил использования КТРУ и не отражает действительную потребность Заказчика в используемых дополнительных характеристиках.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данной закупочной процедуры установлено в нарушение п.1,2 ч.1 ст.33, ч.6 ст.23 Закона о контрактной системе и содержит признаки состава административного правонарушения, предусмотренного ч.4.2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характеристика «Тип подачи жидких средств: «Капля» не соответствует поставляемому товару, так как жидкое средство должно иметь тип подачи «спрей».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согласно Техническому заданию закупается жидкое мыло и гелевый антисептик, следовательно средство не распыляется, а льется. Требованию по типу подачи жидкости «Капля» соответствуют производители следующих дозаторов: Дозатор УоГег 03039.В, 03039.^ и дозатор Кзйех АЖ-7961М.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нормы ч.4 ст.106 Закона о контрактной системе </w:t>
      </w:r>
      <w:r>
        <w:rPr>
          <w:b/>
          <w:bCs/>
          <w:color w:val="0000FF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бязанность доказывания нарушения Заказчиком своих прав и законных интересов лежит на подателе жалобы, однако, в составе жалобы Заявителем не представлено документов и сведений свидетельствующих об ограничении количества участников закупки и о нарушении Заказчиком норм законодательства об осуществлении закупок,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Волков А.А. на действия ГБУЗ «ГП № 23 ДЗМ» обоснованной в части установления дополнительных характеристик, не предусмотренных КТРУ и отсутствия обоснования применения дополнительных характеристик.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п.1,2 ч.1 ст.33, ч.6 ст.23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5883275</wp:posOffset>
                </wp:positionH>
                <wp:positionV relativeFrom="paragraph">
                  <wp:posOffset>12700</wp:posOffset>
                </wp:positionV>
                <wp:extent cx="1304290" cy="94805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948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3.25pt;margin-top:1.pt;width:102.7pt;height:74.650000000000006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headerReference w:type="default" r:id="rId10"/>
      <w:footerReference w:type="default" r:id="rId11"/>
      <w:footnotePr>
        <w:pos w:val="pageBottom"/>
        <w:numFmt w:val="decimal"/>
        <w:numRestart w:val="continuous"/>
      </w:footnotePr>
      <w:pgSz w:w="11900" w:h="16840"/>
      <w:pgMar w:top="615" w:right="525" w:bottom="583" w:left="60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10217150</wp:posOffset>
              </wp:positionV>
              <wp:extent cx="728980" cy="996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980" cy="996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2022-56260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804.5pt;width:57.399999999999999pt;height:7.850000000000000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2022-56260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412115</wp:posOffset>
              </wp:positionH>
              <wp:positionV relativeFrom="page">
                <wp:posOffset>10479405</wp:posOffset>
              </wp:positionV>
              <wp:extent cx="7251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2022-56260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2.450000000000003pt;margin-top:825.14999999999998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2022-56260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3771265</wp:posOffset>
              </wp:positionH>
              <wp:positionV relativeFrom="page">
                <wp:posOffset>106680</wp:posOffset>
              </wp:positionV>
              <wp:extent cx="6413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296.94999999999999pt;margin-top:8.4000000000000004pt;width:5.0499999999999998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8">
    <w:name w:val="Основной текст (3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/Relationships>
</file>