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2" w:h="2362" w:wrap="none" w:hAnchor="page" w:x="1453" w:y="1129"/>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framePr w:w="3542" w:h="2362" w:wrap="none" w:hAnchor="page" w:x="1453" w:y="1129"/>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framePr w:w="3542" w:h="2362" w:wrap="none" w:hAnchor="page" w:x="1453" w:y="1129"/>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7"/>
        <w:keepNext w:val="0"/>
        <w:keepLines w:val="0"/>
        <w:framePr w:w="4061" w:h="254" w:wrap="none" w:hAnchor="page" w:x="1141" w:y="4119"/>
        <w:widowControl w:val="0"/>
        <w:shd w:val="clear" w:color="auto" w:fill="auto"/>
        <w:bidi w:val="0"/>
        <w:spacing w:before="0" w:after="0" w:line="240" w:lineRule="auto"/>
        <w:ind w:left="0" w:right="0" w:firstLine="0"/>
        <w:jc w:val="left"/>
        <w:rPr>
          <w:sz w:val="19"/>
          <w:szCs w:val="19"/>
        </w:rPr>
      </w:pPr>
      <w:r>
        <w:rPr>
          <w:color w:val="4561A3"/>
          <w:spacing w:val="0"/>
          <w:w w:val="100"/>
          <w:position w:val="0"/>
          <w:sz w:val="19"/>
          <w:szCs w:val="19"/>
          <w:shd w:val="clear" w:color="auto" w:fill="auto"/>
          <w:lang w:val="ru-RU" w:eastAsia="ru-RU" w:bidi="ru-RU"/>
        </w:rPr>
        <w:t xml:space="preserve">На№  от </w:t>
      </w:r>
    </w:p>
    <w:p>
      <w:pPr>
        <w:pStyle w:val="Style10"/>
        <w:keepNext w:val="0"/>
        <w:keepLines w:val="0"/>
        <w:framePr w:w="4853" w:h="5155" w:wrap="none" w:hAnchor="page" w:x="6406" w:y="88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ГОСУДАРСТВЕННОЕ БЮДЖЕТНОЕ УЧРЕЖДЕНИЕ РОСТОВСКОЙ ОБЛАСТИ "ОБЛАСТНАЯ ДЕТСКАЯ КЛИНИЧЕСКАЯ БОЛЬНИЦА"</w:t>
      </w:r>
    </w:p>
    <w:p>
      <w:pPr>
        <w:pStyle w:val="Style10"/>
        <w:keepNext w:val="0"/>
        <w:keepLines w:val="0"/>
        <w:framePr w:w="4853" w:h="5155" w:wrap="none" w:hAnchor="page" w:x="6406" w:y="889"/>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344015, Ростовская обл, Ростов-на-Дону г, УЛ 339-Й СТРЕЛКОВОЙ ДИВИЗИИ, 14 хакиркю^Ь@дтай. сот</w:t>
      </w:r>
    </w:p>
    <w:p>
      <w:pPr>
        <w:pStyle w:val="Style10"/>
        <w:keepNext w:val="0"/>
        <w:keepLines w:val="0"/>
        <w:framePr w:w="4853" w:h="5155" w:wrap="none" w:hAnchor="page" w:x="6406" w:y="88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0"/>
        <w:keepNext w:val="0"/>
        <w:keepLines w:val="0"/>
        <w:framePr w:w="4853" w:h="5155" w:wrap="none" w:hAnchor="page" w:x="6406" w:y="88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121151, г. Москва, набережная Тараса</w:t>
      </w:r>
    </w:p>
    <w:p>
      <w:pPr>
        <w:pStyle w:val="Style10"/>
        <w:keepNext w:val="0"/>
        <w:keepLines w:val="0"/>
        <w:framePr w:w="4853" w:h="5155" w:wrap="none" w:hAnchor="page" w:x="6406" w:y="88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Шевченко, 23А</w:t>
      </w:r>
    </w:p>
    <w:p>
      <w:pPr>
        <w:pStyle w:val="Style10"/>
        <w:keepNext w:val="0"/>
        <w:keepLines w:val="0"/>
        <w:framePr w:w="4853" w:h="5155" w:wrap="none" w:hAnchor="page" w:x="6406" w:y="889"/>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ко@г1з-1еп^ег.ги</w:t>
      </w:r>
    </w:p>
    <w:p>
      <w:pPr>
        <w:pStyle w:val="Style10"/>
        <w:keepNext w:val="0"/>
        <w:keepLines w:val="0"/>
        <w:framePr w:w="4853" w:h="5155" w:wrap="none" w:hAnchor="page" w:x="6406" w:y="88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ИП ТОЖИБАЕВ ЗАХИДЖОН ПАЗИЛЖОНОВИЧ</w:t>
      </w:r>
    </w:p>
    <w:p>
      <w:pPr>
        <w:pStyle w:val="Style10"/>
        <w:keepNext w:val="0"/>
        <w:keepLines w:val="0"/>
        <w:framePr w:w="4853" w:h="5155" w:wrap="none" w:hAnchor="page" w:x="6406" w:y="88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620075, Свердловская область, Екатеринбург, Малышева, 77, 40</w:t>
      </w:r>
    </w:p>
    <w:p>
      <w:pPr>
        <w:pStyle w:val="Style10"/>
        <w:keepNext w:val="0"/>
        <w:keepLines w:val="0"/>
        <w:framePr w:w="4853" w:h="5155" w:wrap="none" w:hAnchor="page" w:x="6406" w:y="889"/>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^р.xаЫ^xкоп@дта^^сот</w:t>
      </w:r>
    </w:p>
    <w:p>
      <w:pPr>
        <w:pStyle w:val="Style12"/>
        <w:keepNext/>
        <w:keepLines/>
        <w:framePr w:w="3907" w:h="912" w:wrap="none" w:hAnchor="page" w:x="4285" w:y="8017"/>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РЕШЕНИЕ</w:t>
      </w:r>
      <w:bookmarkEnd w:id="0"/>
    </w:p>
    <w:p>
      <w:pPr>
        <w:pStyle w:val="Style12"/>
        <w:keepNext/>
        <w:keepLines/>
        <w:framePr w:w="3907" w:h="912" w:wrap="none" w:hAnchor="page" w:x="4285" w:y="8017"/>
        <w:widowControl w:val="0"/>
        <w:shd w:val="clear" w:color="auto" w:fill="auto"/>
        <w:bidi w:val="0"/>
        <w:spacing w:before="0" w:after="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по результатам рассмотрения дела</w:t>
        <w:br/>
        <w:t>№061/06/42-1563/2023</w:t>
      </w:r>
      <w:bookmarkEnd w:id="2"/>
    </w:p>
    <w:p>
      <w:pPr>
        <w:pStyle w:val="Style10"/>
        <w:keepNext w:val="0"/>
        <w:keepLines w:val="0"/>
        <w:framePr w:w="1142" w:h="346" w:wrap="none" w:hAnchor="page" w:x="1117" w:y="915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03.05.2023</w:t>
      </w:r>
    </w:p>
    <w:p>
      <w:pPr>
        <w:pStyle w:val="Style10"/>
        <w:keepNext w:val="0"/>
        <w:keepLines w:val="0"/>
        <w:framePr w:w="1896" w:h="346" w:wrap="none" w:hAnchor="page" w:x="9392" w:y="915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Ростов-на-Дону</w:t>
      </w:r>
    </w:p>
    <w:p>
      <w:pPr>
        <w:pStyle w:val="Style10"/>
        <w:keepNext w:val="0"/>
        <w:keepLines w:val="0"/>
        <w:framePr w:w="10243" w:h="1478" w:wrap="none" w:hAnchor="page" w:x="1107" w:y="9716"/>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 Председатель Комиссии: Члены Комиссии:</w:t>
      </w:r>
    </w:p>
    <w:p>
      <w:pPr>
        <w:pStyle w:val="Style10"/>
        <w:keepNext w:val="0"/>
        <w:keepLines w:val="0"/>
        <w:framePr w:w="1786" w:h="907" w:wrap="none" w:hAnchor="page" w:x="9459" w:y="10566"/>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Т.С. Акопян, С.А. Евстратова, В.О. Беркутов,</w:t>
      </w:r>
    </w:p>
    <w:p>
      <w:pPr>
        <w:pStyle w:val="Style10"/>
        <w:keepNext w:val="0"/>
        <w:keepLines w:val="0"/>
        <w:framePr w:w="10253" w:h="2606" w:wrap="none" w:hAnchor="page" w:x="1112" w:y="11699"/>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рассмотрев дело №061/06/42-1563/2023 по жалобе ИП Тожибаева З.П. (далее-Заявитель) о нарушении ГБУ РО «ОДКБ» (далее-Заказчик) при проведении электронного аукциона №0358200000223000155 «Выборочный капитальный ремонт здания ГБУ РО ОДКБ расположенного по адресу г. Ростов-на-Дону, ул. 339 Стрелковой Дивизии, д.14 (замена дверей эвакуационных выходов, пожарных шкафов, складских помещений и перегородок на противопожарные)» (далее - Аукцион)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в режиме видеоконференции в присутствие представителя Заказчика — Медведевой Т.Ф. (доверенность от 02.05.2023), в отсутствие</w:t>
      </w:r>
    </w:p>
    <w:p>
      <w:pPr>
        <w:pStyle w:val="Style14"/>
        <w:keepNext/>
        <w:keepLines/>
        <w:framePr w:w="2486" w:h="509" w:wrap="none" w:hAnchor="page" w:x="1098" w:y="14617"/>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111111111111111111111111</w:t>
      </w:r>
      <w:bookmarkEnd w:id="4"/>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w:drawing>
          <wp:anchor distT="0" distB="307975" distL="67310" distR="1393190" simplePos="0" relativeHeight="62914691" behindDoc="1" locked="0" layoutInCell="1" allowOverlap="1">
            <wp:simplePos x="0" y="0"/>
            <wp:positionH relativeFrom="page">
              <wp:posOffset>791210</wp:posOffset>
            </wp:positionH>
            <wp:positionV relativeFrom="margin">
              <wp:posOffset>2270760</wp:posOffset>
            </wp:positionV>
            <wp:extent cx="1121410" cy="20129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1121410" cy="201295"/>
                    </a:xfrm>
                    <a:prstGeom prst="rect"/>
                  </pic:spPr>
                </pic:pic>
              </a:graphicData>
            </a:graphic>
          </wp:anchor>
        </w:drawing>
      </w:r>
      <w:r>
        <w:drawing>
          <wp:anchor distT="0" distB="0" distL="0" distR="0" simplePos="0" relativeHeight="62914692" behindDoc="1" locked="0" layoutInCell="1" allowOverlap="1">
            <wp:simplePos x="0" y="0"/>
            <wp:positionH relativeFrom="page">
              <wp:posOffset>727075</wp:posOffset>
            </wp:positionH>
            <wp:positionV relativeFrom="margin">
              <wp:posOffset>3081655</wp:posOffset>
            </wp:positionV>
            <wp:extent cx="2597150" cy="18288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2597150" cy="1828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4" w:line="1" w:lineRule="exact"/>
      </w:pPr>
    </w:p>
    <w:p>
      <w:pPr>
        <w:widowControl w:val="0"/>
        <w:spacing w:line="1" w:lineRule="exact"/>
        <w:sectPr>
          <w:footerReference w:type="default" r:id="rId11"/>
          <w:footnotePr>
            <w:pos w:val="pageBottom"/>
            <w:numFmt w:val="decimal"/>
            <w:numRestart w:val="continuous"/>
          </w:footnotePr>
          <w:pgSz w:w="11900" w:h="16840"/>
          <w:pgMar w:top="284" w:right="537" w:bottom="1216" w:left="1097" w:header="0" w:footer="3" w:gutter="0"/>
          <w:pgNumType w:start="1"/>
          <w:cols w:space="720"/>
          <w:noEndnote/>
          <w:rtlGutter w:val="0"/>
          <w:docGrid w:linePitch="360"/>
        </w:sectPr>
      </w:pPr>
    </w:p>
    <w:p>
      <w:pPr>
        <w:pStyle w:val="Style10"/>
        <w:keepNext w:val="0"/>
        <w:keepLines w:val="0"/>
        <w:widowControl w:val="0"/>
        <w:shd w:val="clear" w:color="auto" w:fill="auto"/>
        <w:bidi w:val="0"/>
        <w:spacing w:before="0" w:after="260" w:line="240" w:lineRule="auto"/>
        <w:ind w:left="0" w:right="0" w:firstLine="0"/>
        <w:jc w:val="both"/>
      </w:pPr>
      <w:r>
        <w:rPr>
          <w:color w:val="000000"/>
          <w:spacing w:val="0"/>
          <w:w w:val="100"/>
          <w:position w:val="0"/>
          <w:sz w:val="24"/>
          <w:szCs w:val="24"/>
          <w:shd w:val="clear" w:color="auto" w:fill="auto"/>
          <w:lang w:val="ru-RU" w:eastAsia="ru-RU" w:bidi="ru-RU"/>
        </w:rPr>
        <w:t>представителя Заявителя, уведомленного надлежащим образом,</w:t>
      </w:r>
    </w:p>
    <w:p>
      <w:pPr>
        <w:pStyle w:val="Style12"/>
        <w:keepNext/>
        <w:keepLines/>
        <w:widowControl w:val="0"/>
        <w:shd w:val="clear" w:color="auto" w:fill="auto"/>
        <w:bidi w:val="0"/>
        <w:spacing w:before="0" w:after="260" w:line="240" w:lineRule="auto"/>
        <w:ind w:left="0" w:right="0" w:firstLine="0"/>
        <w:jc w:val="center"/>
      </w:pPr>
      <w:bookmarkStart w:id="6" w:name="bookmark6"/>
      <w:r>
        <w:rPr>
          <w:color w:val="000000"/>
          <w:spacing w:val="0"/>
          <w:w w:val="100"/>
          <w:position w:val="0"/>
          <w:sz w:val="24"/>
          <w:szCs w:val="24"/>
          <w:shd w:val="clear" w:color="auto" w:fill="auto"/>
          <w:lang w:val="ru-RU" w:eastAsia="ru-RU" w:bidi="ru-RU"/>
        </w:rPr>
        <w:t>УСТАНОВИЛА:</w:t>
      </w:r>
      <w:bookmarkEnd w:id="6"/>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который оспаривает положения извещения о проведении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0"/>
        <w:keepNext w:val="0"/>
        <w:keepLines w:val="0"/>
        <w:widowControl w:val="0"/>
        <w:numPr>
          <w:ilvl w:val="0"/>
          <w:numId w:val="1"/>
        </w:numPr>
        <w:shd w:val="clear" w:color="auto" w:fill="auto"/>
        <w:tabs>
          <w:tab w:pos="97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отрицал нарушения в извещении об осуществлении закупки;</w:t>
      </w:r>
    </w:p>
    <w:p>
      <w:pPr>
        <w:pStyle w:val="Style10"/>
        <w:keepNext w:val="0"/>
        <w:keepLines w:val="0"/>
        <w:widowControl w:val="0"/>
        <w:numPr>
          <w:ilvl w:val="0"/>
          <w:numId w:val="1"/>
        </w:numPr>
        <w:shd w:val="clear" w:color="auto" w:fill="auto"/>
        <w:tabs>
          <w:tab w:pos="97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представил пояснения по доводам жалобы.</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ч.ч.1, 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года №727/14 (далее - Регламент), в ходе рассмотрения дела установлено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Извещение размещено в Единой информационной системе (ЕИС) на официальном сайте \\-\\л\-./акирк1.до\\ги 17.04.2023, согласно которому:</w:t>
      </w:r>
    </w:p>
    <w:p>
      <w:pPr>
        <w:pStyle w:val="Style10"/>
        <w:keepNext w:val="0"/>
        <w:keepLines w:val="0"/>
        <w:widowControl w:val="0"/>
        <w:numPr>
          <w:ilvl w:val="0"/>
          <w:numId w:val="1"/>
        </w:numPr>
        <w:shd w:val="clear" w:color="auto" w:fill="auto"/>
        <w:tabs>
          <w:tab w:pos="97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- 26.04.2023 09:00 (МСК);</w:t>
      </w:r>
    </w:p>
    <w:p>
      <w:pPr>
        <w:pStyle w:val="Style10"/>
        <w:keepNext w:val="0"/>
        <w:keepLines w:val="0"/>
        <w:widowControl w:val="0"/>
        <w:numPr>
          <w:ilvl w:val="0"/>
          <w:numId w:val="1"/>
        </w:numPr>
        <w:shd w:val="clear" w:color="auto" w:fill="auto"/>
        <w:tabs>
          <w:tab w:pos="97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9 420 585,99 рублей.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аукциона на участие в закупке подано две заявки, которые признаны соответствующими требованиям извещения.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доводу жалобы, Заказчиком неправомерно установлены требования к участникам закупки в части наличия лицензии в области пожарной безопасности.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12 ч. 1 ст.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п. 1 ч. 1 ст. 31 Закона,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единое требование к участникам закупки об их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При этом, в силу ч. 6 ст. 31 Закона Заказчики не вправе устанавливать требования к участникам закупок в нарушение требований Закона о контрактной системе.</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ч. 4 ст. 31 Закона, указанные в настоящей статье требования предъявляются в равной мере ко всем участникам закупок.</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 xml:space="preserve">Согласно ч.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w:t>
      </w:r>
      <w:r>
        <w:rPr>
          <w:color w:val="000000"/>
          <w:spacing w:val="0"/>
          <w:w w:val="100"/>
          <w:position w:val="0"/>
          <w:sz w:val="24"/>
          <w:szCs w:val="24"/>
          <w:shd w:val="clear" w:color="auto" w:fill="auto"/>
          <w:lang w:val="ru-RU" w:eastAsia="ru-RU" w:bidi="ru-RU"/>
        </w:rPr>
        <w:t>саморегулируемой организации или выданного саморегулируемой организацией свидетельства о допуске к определенному виду работ.</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со ст. 12 Федерального закона от 04.05.2011 ^ 99-ФЗ "О лицензировании отдельных видов деятельности" (далее - Федеральный закон ^ 99-ФЗ), утвержден перечень видов деятельности, подлежащих лицензированию.</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п. 15 ст. 12 Федерального закона ^ 99-ФЗ, деятельность по монтажу, техническому обслуживанию и ремонту средств обеспечения пожарной безопасности зданий и сооружений относится к видам деятельности, подлежащих лицензированию.</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п. 3 постановления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(далее - Постановление № 1128), определен перечень работ и услуг согласно перечню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предусмотренному приложением к настоящему Положению (далее - Перечень).</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Перечню, к работам и услугам, входящим в деятельность по монтажу, техническому обслуживанию и ремонту средств обеспечения пожарной безопасности зданий и сооружений отнесены:</w:t>
      </w:r>
    </w:p>
    <w:p>
      <w:pPr>
        <w:pStyle w:val="Style10"/>
        <w:keepNext w:val="0"/>
        <w:keepLines w:val="0"/>
        <w:widowControl w:val="0"/>
        <w:numPr>
          <w:ilvl w:val="0"/>
          <w:numId w:val="3"/>
        </w:numPr>
        <w:shd w:val="clear" w:color="auto" w:fill="auto"/>
        <w:tabs>
          <w:tab w:pos="87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систем пожаротушения и их элементов, включая диспетчеризацию и проведение пусконаладочных работ.</w:t>
      </w:r>
    </w:p>
    <w:p>
      <w:pPr>
        <w:pStyle w:val="Style10"/>
        <w:keepNext w:val="0"/>
        <w:keepLines w:val="0"/>
        <w:widowControl w:val="0"/>
        <w:numPr>
          <w:ilvl w:val="0"/>
          <w:numId w:val="3"/>
        </w:numPr>
        <w:shd w:val="clear" w:color="auto" w:fill="auto"/>
        <w:tabs>
          <w:tab w:pos="87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pPr>
        <w:pStyle w:val="Style10"/>
        <w:keepNext w:val="0"/>
        <w:keepLines w:val="0"/>
        <w:widowControl w:val="0"/>
        <w:numPr>
          <w:ilvl w:val="0"/>
          <w:numId w:val="3"/>
        </w:numPr>
        <w:shd w:val="clear" w:color="auto" w:fill="auto"/>
        <w:tabs>
          <w:tab w:pos="87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pPr>
        <w:pStyle w:val="Style10"/>
        <w:keepNext w:val="0"/>
        <w:keepLines w:val="0"/>
        <w:widowControl w:val="0"/>
        <w:numPr>
          <w:ilvl w:val="0"/>
          <w:numId w:val="3"/>
        </w:numPr>
        <w:shd w:val="clear" w:color="auto" w:fill="auto"/>
        <w:tabs>
          <w:tab w:pos="87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автоматических систем (элементов автоматических систем) противодымной вентиляции, включая диспетчеризацию и проведение пусконаладочных работ.</w:t>
      </w:r>
    </w:p>
    <w:p>
      <w:pPr>
        <w:pStyle w:val="Style10"/>
        <w:keepNext w:val="0"/>
        <w:keepLines w:val="0"/>
        <w:widowControl w:val="0"/>
        <w:numPr>
          <w:ilvl w:val="0"/>
          <w:numId w:val="3"/>
        </w:numPr>
        <w:shd w:val="clear" w:color="auto" w:fill="auto"/>
        <w:tabs>
          <w:tab w:pos="881"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pPr>
        <w:pStyle w:val="Style10"/>
        <w:keepNext w:val="0"/>
        <w:keepLines w:val="0"/>
        <w:widowControl w:val="0"/>
        <w:numPr>
          <w:ilvl w:val="0"/>
          <w:numId w:val="3"/>
        </w:numPr>
        <w:shd w:val="clear" w:color="auto" w:fill="auto"/>
        <w:tabs>
          <w:tab w:pos="87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автоматических систем (элементов автоматических систем) передачи извещений о пожаре, включая диспетчеризацию и проведение пусконаладочных работ.</w:t>
      </w:r>
    </w:p>
    <w:p>
      <w:pPr>
        <w:pStyle w:val="Style10"/>
        <w:keepNext w:val="0"/>
        <w:keepLines w:val="0"/>
        <w:widowControl w:val="0"/>
        <w:numPr>
          <w:ilvl w:val="0"/>
          <w:numId w:val="3"/>
        </w:numPr>
        <w:shd w:val="clear" w:color="auto" w:fill="auto"/>
        <w:tabs>
          <w:tab w:pos="87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противопожарных занавесов и завес, включая диспетчеризацию и проведение пусконаладочных работ.</w:t>
      </w:r>
    </w:p>
    <w:p>
      <w:pPr>
        <w:pStyle w:val="Style10"/>
        <w:keepNext w:val="0"/>
        <w:keepLines w:val="0"/>
        <w:widowControl w:val="0"/>
        <w:numPr>
          <w:ilvl w:val="0"/>
          <w:numId w:val="3"/>
        </w:numPr>
        <w:shd w:val="clear" w:color="auto" w:fill="auto"/>
        <w:tabs>
          <w:tab w:pos="87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заполнений проемов в противопожарных преградах.</w:t>
      </w:r>
    </w:p>
    <w:p>
      <w:pPr>
        <w:pStyle w:val="Style10"/>
        <w:keepNext w:val="0"/>
        <w:keepLines w:val="0"/>
        <w:widowControl w:val="0"/>
        <w:numPr>
          <w:ilvl w:val="0"/>
          <w:numId w:val="3"/>
        </w:numPr>
        <w:shd w:val="clear" w:color="auto" w:fill="auto"/>
        <w:tabs>
          <w:tab w:pos="137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Выполнение работ по огнезащите материалов, изделий и конструкций.</w:t>
      </w:r>
    </w:p>
    <w:p>
      <w:pPr>
        <w:pStyle w:val="Style10"/>
        <w:keepNext w:val="0"/>
        <w:keepLines w:val="0"/>
        <w:widowControl w:val="0"/>
        <w:numPr>
          <w:ilvl w:val="0"/>
          <w:numId w:val="3"/>
        </w:numPr>
        <w:shd w:val="clear" w:color="auto" w:fill="auto"/>
        <w:tabs>
          <w:tab w:pos="1376"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Монтаж, техническое обслуживание и ремонт первичных средств пожаротушения.</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свою очередь, Комиссия Ростовского УФАС России отмечает, что в случае, если выполнение работ, составляющих лицензируемый вид деятельности, является самостоятельным объектом закупки, Заказчик обязан установить требования к участникам закупки о наличии у них лицензии на такой вид деятельности.</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Объектом рассматриваемой закупки является выполнение выборочного капитального ремонта, а именно замена дверей эвакуационных выходов, пожарных шкафов, складских помещений и перегородок на противопожарные.</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Анализ извещения показал, что вышеуказанные Заказчиком работы составляют основную часть от общего объема работ, включенных в объект закупки и являются самостоятельным объектом закупки, в связи с чем установление Заказчиком требования о предоставлении в составе заявки на участие в закупке вышеуказанной лицензии правомерно.</w:t>
      </w:r>
    </w:p>
    <w:p>
      <w:pPr>
        <w:pStyle w:val="Style10"/>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На основании изложенного, довод жалобы признан необоснованным.</w:t>
      </w:r>
      <w:r>
        <w:br w:type="page"/>
      </w:r>
    </w:p>
    <w:p>
      <w:pPr>
        <w:pStyle w:val="Style10"/>
        <w:keepNext w:val="0"/>
        <w:keepLines w:val="0"/>
        <w:widowControl w:val="0"/>
        <w:shd w:val="clear" w:color="auto" w:fill="auto"/>
        <w:bidi w:val="0"/>
        <w:spacing w:before="0" w:after="260" w:line="240" w:lineRule="auto"/>
        <w:ind w:left="0" w:right="0" w:firstLine="560"/>
        <w:jc w:val="both"/>
      </w:pPr>
      <w:r>
        <w:rPr>
          <w:color w:val="000000"/>
          <w:spacing w:val="0"/>
          <w:w w:val="100"/>
          <w:position w:val="0"/>
          <w:sz w:val="24"/>
          <w:szCs w:val="24"/>
          <w:shd w:val="clear" w:color="auto" w:fill="auto"/>
          <w:lang w:val="ru-RU" w:eastAsia="ru-RU" w:bidi="ru-RU"/>
        </w:rPr>
        <w:t>В силу Постановления Правительства РФ от 26.08.2013 № 728, в соответствии с ч.15 ст.99, ч.8 ст.106 Закона,</w:t>
      </w:r>
    </w:p>
    <w:p>
      <w:pPr>
        <w:pStyle w:val="Style12"/>
        <w:keepNext/>
        <w:keepLines/>
        <w:widowControl w:val="0"/>
        <w:shd w:val="clear" w:color="auto" w:fill="auto"/>
        <w:bidi w:val="0"/>
        <w:spacing w:before="0" w:after="26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РЕШИЛА:</w:t>
      </w:r>
      <w:bookmarkEnd w:id="8"/>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Заявителя необоснованной.</w:t>
      </w:r>
    </w:p>
    <w:p>
      <w:pPr>
        <w:pStyle w:val="Style10"/>
        <w:keepNext w:val="0"/>
        <w:keepLines w:val="0"/>
        <w:widowControl w:val="0"/>
        <w:shd w:val="clear" w:color="auto" w:fill="auto"/>
        <w:bidi w:val="0"/>
        <w:spacing w:before="0" w:after="320" w:line="240" w:lineRule="auto"/>
        <w:ind w:left="0" w:right="0" w:firstLine="720"/>
        <w:jc w:val="both"/>
      </w:pPr>
      <w:r>
        <w:rPr>
          <w:i/>
          <w:iCs/>
          <w:color w:val="000000"/>
          <w:spacing w:val="0"/>
          <w:w w:val="100"/>
          <w:position w:val="0"/>
          <w:sz w:val="24"/>
          <w:szCs w:val="24"/>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78" behindDoc="0" locked="0" layoutInCell="1" allowOverlap="1">
            <wp:simplePos x="0" y="0"/>
            <wp:positionH relativeFrom="page">
              <wp:posOffset>2663190</wp:posOffset>
            </wp:positionH>
            <wp:positionV relativeFrom="paragraph">
              <wp:posOffset>50800</wp:posOffset>
            </wp:positionV>
            <wp:extent cx="353695" cy="536575"/>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2"/>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3120390</wp:posOffset>
                </wp:positionH>
                <wp:positionV relativeFrom="paragraph">
                  <wp:posOffset>453390</wp:posOffset>
                </wp:positionV>
                <wp:extent cx="1283335" cy="103505"/>
                <wp:wrapNone/>
                <wp:docPr id="11" name="Shape 1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70000000000002pt;margin-top:35.700000000000003pt;width:101.05pt;height:8.1500000000000004pt;z-index:251657729;mso-wrap-distance-left:0;mso-wrap-distance-right:0;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3077845</wp:posOffset>
                </wp:positionH>
                <wp:positionV relativeFrom="paragraph">
                  <wp:posOffset>142240</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9" type="#_x0000_t202" style="position:absolute;margin-left:242.34999999999999pt;margin-top:11.200000000000001pt;width:135.59999999999999pt;height:20.150000000000002pt;z-index:251657731;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Т.С. Акопян</w: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Акопян Тигран Саргисович</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00А66ОЗО1Е859Е9Э8016685Е834Э799В6В</w:t>
      </w:r>
    </w:p>
    <w:p>
      <w:pPr>
        <w:pStyle w:val="Style22"/>
        <w:keepNext w:val="0"/>
        <w:keepLines w:val="0"/>
        <w:widowControl w:val="0"/>
        <w:shd w:val="clear" w:color="auto" w:fill="auto"/>
        <w:bidi w:val="0"/>
        <w:spacing w:before="0" w:after="80" w:line="240"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30.11.2022 </w:t>
      </w:r>
      <w:r>
        <w:rPr>
          <w:color w:val="000000"/>
          <w:spacing w:val="0"/>
          <w:w w:val="100"/>
          <w:position w:val="0"/>
          <w:shd w:val="clear" w:color="auto" w:fill="auto"/>
          <w:lang w:val="ru-RU" w:eastAsia="ru-RU" w:bidi="ru-RU"/>
        </w:rPr>
        <w:t xml:space="preserve">по </w:t>
      </w:r>
      <w:r>
        <w:rPr>
          <w:color w:val="212121"/>
          <w:spacing w:val="0"/>
          <w:w w:val="100"/>
          <w:position w:val="0"/>
          <w:shd w:val="clear" w:color="auto" w:fill="auto"/>
          <w:lang w:val="ru-RU" w:eastAsia="ru-RU" w:bidi="ru-RU"/>
        </w:rPr>
        <w:t>23.02.2024</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79" behindDoc="0" locked="0" layoutInCell="1" allowOverlap="1">
            <wp:simplePos x="0" y="0"/>
            <wp:positionH relativeFrom="page">
              <wp:posOffset>2663190</wp:posOffset>
            </wp:positionH>
            <wp:positionV relativeFrom="paragraph">
              <wp:posOffset>50800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4"/>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3120390</wp:posOffset>
                </wp:positionH>
                <wp:positionV relativeFrom="paragraph">
                  <wp:posOffset>453390</wp:posOffset>
                </wp:positionV>
                <wp:extent cx="1280160" cy="100330"/>
                <wp:wrapNone/>
                <wp:docPr id="17" name="Shape 1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70000000000002pt;margin-top:35.700000000000003pt;width:100.8pt;height:7.9000000000000004pt;z-index:251657733;mso-wrap-distance-left:0;mso-wrap-distance-right:0;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3077845</wp:posOffset>
                </wp:positionH>
                <wp:positionV relativeFrom="paragraph">
                  <wp:posOffset>139065</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42.34999999999999pt;margin-top:10.950000000000001pt;width:135.59999999999999pt;height:20.150000000000002pt;z-index:251657735;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С.А. Евстратова</w: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22"/>
        <w:keepNext w:val="0"/>
        <w:keepLines w:val="0"/>
        <w:widowControl w:val="0"/>
        <w:shd w:val="clear" w:color="auto" w:fill="auto"/>
        <w:bidi w:val="0"/>
        <w:spacing w:before="0" w:after="0" w:line="240" w:lineRule="auto"/>
        <w:ind w:right="0" w:firstLine="0"/>
        <w:jc w:val="left"/>
      </w:pPr>
      <w:r>
        <w:rPr>
          <w:color w:val="53535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ООАО8ОСО55ВЕ1728ОО40ЕСРЮА43ЕО63О</w:t>
      </w:r>
    </w:p>
    <w:p>
      <w:pPr>
        <w:pStyle w:val="Style22"/>
        <w:keepNext w:val="0"/>
        <w:keepLines w:val="0"/>
        <w:widowControl w:val="0"/>
        <w:shd w:val="clear" w:color="auto" w:fill="auto"/>
        <w:bidi w:val="0"/>
        <w:spacing w:before="0" w:after="38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535353"/>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24.04.2023 по </w:t>
      </w:r>
      <w:r>
        <w:rPr>
          <w:color w:val="535353"/>
          <w:spacing w:val="0"/>
          <w:w w:val="100"/>
          <w:position w:val="0"/>
          <w:shd w:val="clear" w:color="auto" w:fill="auto"/>
          <w:lang w:val="ru-RU" w:eastAsia="ru-RU" w:bidi="ru-RU"/>
        </w:rPr>
        <w:t>17.07.2024</w:t>
      </w:r>
    </w:p>
    <w:p>
      <w:pPr>
        <w:pStyle w:val="Style10"/>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0" behindDoc="0" locked="0" layoutInCell="1" allowOverlap="1">
            <wp:simplePos x="0" y="0"/>
            <wp:positionH relativeFrom="page">
              <wp:posOffset>2663190</wp:posOffset>
            </wp:positionH>
            <wp:positionV relativeFrom="paragraph">
              <wp:posOffset>50800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6"/>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3120390</wp:posOffset>
                </wp:positionH>
                <wp:positionV relativeFrom="paragraph">
                  <wp:posOffset>450215</wp:posOffset>
                </wp:positionV>
                <wp:extent cx="1286510" cy="103505"/>
                <wp:wrapNone/>
                <wp:docPr id="23" name="Shape 23"/>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70000000000002pt;margin-top:35.450000000000003pt;width:101.3pt;height:8.1500000000000004pt;z-index:251657737;mso-wrap-distance-left:0;mso-wrap-distance-right:0;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3077845</wp:posOffset>
                </wp:positionH>
                <wp:positionV relativeFrom="paragraph">
                  <wp:posOffset>139065</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34999999999999pt;margin-top:10.950000000000001pt;width:135.59999999999999pt;height:20.150000000000002pt;z-index:25165773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В.О. Беркутов</w: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Беркутов Вячеслав Олегович</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008А397ВЕ70С908С36В5Е0514Е5ЕЕА5ЕА</w:t>
      </w:r>
      <w:r>
        <w:rPr>
          <w:spacing w:val="0"/>
          <w:w w:val="100"/>
          <w:position w:val="0"/>
          <w:shd w:val="clear" w:color="auto" w:fill="auto"/>
          <w:lang w:val="ru-RU" w:eastAsia="ru-RU" w:bidi="ru-RU"/>
        </w:rPr>
        <w:t>'</w:t>
      </w:r>
    </w:p>
    <w:p>
      <w:pPr>
        <w:pStyle w:val="Style22"/>
        <w:keepNext w:val="0"/>
        <w:keepLines w:val="0"/>
        <w:widowControl w:val="0"/>
        <w:shd w:val="clear" w:color="auto" w:fill="auto"/>
        <w:bidi w:val="0"/>
        <w:spacing w:before="0" w:after="512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09.06.2022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02.09.2023</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Исп.Беркутов В.О.</w:t>
      </w:r>
    </w:p>
    <w:p>
      <w:pPr>
        <w:pStyle w:val="Style10"/>
        <w:keepNext w:val="0"/>
        <w:keepLines w:val="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тел.(863) 240-86-88, вн.061-132</w:t>
      </w:r>
    </w:p>
    <w:sectPr>
      <w:footerReference w:type="default" r:id="rId18"/>
      <w:footnotePr>
        <w:pos w:val="pageBottom"/>
        <w:numFmt w:val="decimal"/>
        <w:numRestart w:val="continuous"/>
      </w:footnotePr>
      <w:pgSz w:w="11900" w:h="16840"/>
      <w:pgMar w:top="1028" w:right="544" w:bottom="1121" w:left="1098" w:header="60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2023-8319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3" type="#_x0000_t202" style="position:absolute;margin-left:57.pt;margin-top:776.20000000000005pt;width:51.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2023-8319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721995</wp:posOffset>
              </wp:positionH>
              <wp:positionV relativeFrom="page">
                <wp:posOffset>10045065</wp:posOffset>
              </wp:positionV>
              <wp:extent cx="648970" cy="100330"/>
              <wp:wrapNone/>
              <wp:docPr id="27" name="Shape 2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2023-8319</w:t>
                          </w:r>
                        </w:p>
                      </w:txbxContent>
                    </wps:txbx>
                    <wps:bodyPr wrap="none" lIns="0" tIns="0" rIns="0" bIns="0">
                      <a:spAutoFit/>
                    </wps:bodyPr>
                  </wps:wsp>
                </a:graphicData>
              </a:graphic>
            </wp:anchor>
          </w:drawing>
        </mc:Choice>
        <mc:Fallback>
          <w:pict>
            <v:shape id="_x0000_s1053" type="#_x0000_t202" style="position:absolute;margin-left:56.850000000000001pt;margin-top:790.95000000000005pt;width:51.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2023-8319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561A3"/>
      <w:sz w:val="19"/>
      <w:szCs w:val="19"/>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Заголовок №2_"/>
    <w:basedOn w:val="DefaultParagraphFont"/>
    <w:link w:val="Style12"/>
    <w:rPr>
      <w:rFonts w:ascii="Times New Roman" w:eastAsia="Times New Roman" w:hAnsi="Times New Roman" w:cs="Times New Roman"/>
      <w:b/>
      <w:bCs/>
      <w:i w:val="0"/>
      <w:iCs w:val="0"/>
      <w:smallCaps w:val="0"/>
      <w:strike w:val="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2"/>
      <w:szCs w:val="32"/>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3D3D3D"/>
      <w:sz w:val="12"/>
      <w:szCs w:val="12"/>
      <w:u w:val="none"/>
    </w:rPr>
  </w:style>
  <w:style w:type="paragraph" w:customStyle="1" w:styleId="Style2">
    <w:name w:val="Основной текст (3)"/>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Основной текст (4)"/>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561A3"/>
      <w:sz w:val="19"/>
      <w:szCs w:val="19"/>
      <w:u w:val="none"/>
    </w:rPr>
  </w:style>
  <w:style w:type="paragraph" w:customStyle="1" w:styleId="Style7">
    <w:name w:val="Подпись к картинке"/>
    <w:basedOn w:val="Normal"/>
    <w:link w:val="CharStyle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Заголовок №2"/>
    <w:basedOn w:val="Normal"/>
    <w:link w:val="CharStyle13"/>
    <w:pPr>
      <w:widowControl w:val="0"/>
      <w:shd w:val="clear" w:color="auto" w:fill="auto"/>
      <w:spacing w:after="130"/>
      <w:jc w:val="center"/>
      <w:outlineLvl w:val="1"/>
    </w:pPr>
    <w:rPr>
      <w:rFonts w:ascii="Times New Roman" w:eastAsia="Times New Roman" w:hAnsi="Times New Roman" w:cs="Times New Roman"/>
      <w:b/>
      <w:bCs/>
      <w:i w:val="0"/>
      <w:iCs w:val="0"/>
      <w:smallCaps w:val="0"/>
      <w:strike w:val="0"/>
      <w:u w:val="none"/>
    </w:rPr>
  </w:style>
  <w:style w:type="paragraph" w:customStyle="1" w:styleId="Style14">
    <w:name w:val="Заголовок №1"/>
    <w:basedOn w:val="Normal"/>
    <w:link w:val="CharStyle15"/>
    <w:pPr>
      <w:widowControl w:val="0"/>
      <w:shd w:val="clear" w:color="auto" w:fill="auto"/>
      <w:outlineLvl w:val="0"/>
    </w:pPr>
    <w:rPr>
      <w:rFonts w:ascii="Arial" w:eastAsia="Arial" w:hAnsi="Arial" w:cs="Arial"/>
      <w:b w:val="0"/>
      <w:bCs w:val="0"/>
      <w:i w:val="0"/>
      <w:iCs w:val="0"/>
      <w:smallCaps w:val="0"/>
      <w:strike w:val="0"/>
      <w:sz w:val="32"/>
      <w:szCs w:val="32"/>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Основной текст (2)"/>
    <w:basedOn w:val="Normal"/>
    <w:link w:val="CharStyle23"/>
    <w:pPr>
      <w:widowControl w:val="0"/>
      <w:shd w:val="clear" w:color="auto" w:fill="auto"/>
      <w:ind w:left="3100"/>
    </w:pPr>
    <w:rPr>
      <w:rFonts w:ascii="Arial" w:eastAsia="Arial" w:hAnsi="Arial" w:cs="Arial"/>
      <w:b w:val="0"/>
      <w:bCs w:val="0"/>
      <w:i w:val="0"/>
      <w:iCs w:val="0"/>
      <w:smallCaps w:val="0"/>
      <w:strike w:val="0"/>
      <w:color w:val="3D3D3D"/>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image" Target="media/image4.jpeg"/><Relationship Id="rId13" Type="http://schemas.openxmlformats.org/officeDocument/2006/relationships/image" Target="media/image4.jpeg" TargetMode="External"/><Relationship Id="rId14" Type="http://schemas.openxmlformats.org/officeDocument/2006/relationships/image" Target="media/image5.jpeg"/><Relationship Id="rId15" Type="http://schemas.openxmlformats.org/officeDocument/2006/relationships/image" Target="media/image5.jpeg" TargetMode="External"/><Relationship Id="rId16" Type="http://schemas.openxmlformats.org/officeDocument/2006/relationships/image" Target="media/image6.jpeg"/><Relationship Id="rId17" Type="http://schemas.openxmlformats.org/officeDocument/2006/relationships/image" Target="media/image6.jpeg" TargetMode="External"/><Relationship Id="rId18" Type="http://schemas.openxmlformats.org/officeDocument/2006/relationships/footer" Target="footer2.xml"/></Relationships>
</file>