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976630" simplePos="0" relativeHeight="125829378" behindDoc="0" locked="0" layoutInCell="1" allowOverlap="1">
            <wp:simplePos x="0" y="0"/>
            <wp:positionH relativeFrom="page">
              <wp:posOffset>1762125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276985" distL="312420" distR="114300" simplePos="0" relativeHeight="125829379" behindDoc="0" locked="0" layoutInCell="1" allowOverlap="1">
                <wp:simplePos x="0" y="0"/>
                <wp:positionH relativeFrom="page">
                  <wp:posOffset>908685</wp:posOffset>
                </wp:positionH>
                <wp:positionV relativeFrom="paragraph">
                  <wp:posOffset>728980</wp:posOffset>
                </wp:positionV>
                <wp:extent cx="2249170" cy="1353185"/>
                <wp:wrapSquare wrapText="right"/>
                <wp:docPr id="3" name="Shape 3"/>
                <a:graphic xmlns:a="http://schemas.openxmlformats.org/drawingml/2006/main">
                  <a:graphicData uri="http://schemas.microsoft.com/office/word/2010/wordprocessingShape">
                    <wps:wsp>
                      <wps:cNvSpPr txBox="1"/>
                      <wps:spPr>
                        <a:xfrm>
                          <a:ext cx="2249170" cy="135318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1.549999999999997pt;margin-top:57.399999999999999pt;width:177.09999999999999pt;height:106.55pt;z-index:-125829374;mso-wrap-distance-left:24.600000000000001pt;mso-wrap-distance-top:56.399999999999999pt;mso-wrap-distance-right:9.pt;mso-wrap-distance-bottom:100.55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v:textbox>
                <w10:wrap type="square" side="right" anchorx="page"/>
              </v:shape>
            </w:pict>
          </mc:Fallback>
        </mc:AlternateContent>
      </w:r>
      <w:r>
        <mc:AlternateContent>
          <mc:Choice Requires="wps">
            <w:drawing>
              <wp:anchor distT="2338070" distB="0" distL="114300" distR="1150620" simplePos="0" relativeHeight="125829381" behindDoc="0" locked="0" layoutInCell="1" allowOverlap="1">
                <wp:simplePos x="0" y="0"/>
                <wp:positionH relativeFrom="page">
                  <wp:posOffset>710565</wp:posOffset>
                </wp:positionH>
                <wp:positionV relativeFrom="paragraph">
                  <wp:posOffset>2350770</wp:posOffset>
                </wp:positionV>
                <wp:extent cx="1410970" cy="1009015"/>
                <wp:wrapSquare wrapText="right"/>
                <wp:docPr id="5" name="Shape 5"/>
                <a:graphic xmlns:a="http://schemas.openxmlformats.org/drawingml/2006/main">
                  <a:graphicData uri="http://schemas.microsoft.com/office/word/2010/wordprocessingShape">
                    <wps:wsp>
                      <wps:cNvSpPr txBox="1"/>
                      <wps:spPr>
                        <a:xfrm>
                          <a:ext cx="1410970" cy="1009015"/>
                        </a:xfrm>
                        <a:prstGeom prst="rect"/>
                        <a:noFill/>
                      </wps:spPr>
                      <wps:txbx>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913</w:t>
                            </w:r>
                          </w:p>
                        </w:txbxContent>
                      </wps:txbx>
                      <wps:bodyPr lIns="0" tIns="0" rIns="0" bIns="0">
                        <a:noAutoFit/>
                      </wps:bodyPr>
                    </wps:wsp>
                  </a:graphicData>
                </a:graphic>
              </wp:anchor>
            </w:drawing>
          </mc:Choice>
          <mc:Fallback>
            <w:pict>
              <v:shape id="_x0000_s1031" type="#_x0000_t202" style="position:absolute;margin-left:55.950000000000003pt;margin-top:185.09999999999999pt;width:111.10000000000001pt;height:79.450000000000003pt;z-index:-125829372;mso-wrap-distance-left:9.pt;mso-wrap-distance-top:184.09999999999999pt;mso-wrap-distance-right:90.600000000000009pt;mso-position-horizontal-relative:page" filled="f" stroked="f">
                <v:textbox inset="0,0,0,0">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913</w:t>
                      </w:r>
                    </w:p>
                  </w:txbxContent>
                </v:textbox>
                <w10:wrap type="square" side="right" anchorx="page"/>
              </v:shape>
            </w:pict>
          </mc:Fallback>
        </mc:AlternateContent>
      </w:r>
      <w:r>
        <w:drawing>
          <wp:anchor distT="0" distB="0" distL="114300" distR="114300" simplePos="0" relativeHeight="125829383" behindDoc="0" locked="0" layoutInCell="1" allowOverlap="1">
            <wp:simplePos x="0" y="0"/>
            <wp:positionH relativeFrom="page">
              <wp:posOffset>704215</wp:posOffset>
            </wp:positionH>
            <wp:positionV relativeFrom="paragraph">
              <wp:posOffset>9262745</wp:posOffset>
            </wp:positionV>
            <wp:extent cx="1517650" cy="28638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86385"/>
                    </a:xfrm>
                    <a:prstGeom prst="rect"/>
                  </pic:spPr>
                </pic:pic>
              </a:graphicData>
            </a:graphic>
          </wp:anchor>
        </w:drawing>
      </w:r>
    </w:p>
    <w:p>
      <w:pPr>
        <w:pStyle w:val="Style11"/>
        <w:keepNext w:val="0"/>
        <w:keepLines w:val="0"/>
        <w:widowControl w:val="0"/>
        <w:shd w:val="clear" w:color="auto" w:fill="auto"/>
        <w:bidi w:val="0"/>
        <w:spacing w:before="0" w:after="300" w:line="240" w:lineRule="auto"/>
        <w:ind w:left="1260" w:right="0" w:firstLine="0"/>
        <w:jc w:val="left"/>
      </w:pPr>
      <w:r>
        <w:rPr>
          <w:color w:val="000000"/>
          <w:spacing w:val="0"/>
          <w:w w:val="100"/>
          <w:position w:val="0"/>
          <w:shd w:val="clear" w:color="auto" w:fill="auto"/>
          <w:lang w:val="ru-RU" w:eastAsia="ru-RU" w:bidi="ru-RU"/>
        </w:rPr>
        <w:t>Комитет Ставропольского края по государственным закупам тГо@51ау-/а1&lt;11р1&lt;1.П1</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ГБУЗ СК "Городская детская клиническая больница имени Г.К. Филиппского" г. Ставрополя 355002 Ставропольский край, г.</w:t>
      </w:r>
    </w:p>
    <w:p>
      <w:pPr>
        <w:pStyle w:val="Style11"/>
        <w:keepNext w:val="0"/>
        <w:keepLines w:val="0"/>
        <w:widowControl w:val="0"/>
        <w:shd w:val="clear" w:color="auto" w:fill="auto"/>
        <w:bidi w:val="0"/>
        <w:spacing w:before="0" w:after="300" w:line="240" w:lineRule="auto"/>
        <w:ind w:left="1260" w:right="0" w:firstLine="0"/>
        <w:jc w:val="left"/>
      </w:pPr>
      <w:r>
        <w:rPr>
          <w:color w:val="000000"/>
          <w:spacing w:val="0"/>
          <w:w w:val="100"/>
          <w:position w:val="0"/>
          <w:shd w:val="clear" w:color="auto" w:fill="auto"/>
          <w:lang w:val="ru-RU" w:eastAsia="ru-RU" w:bidi="ru-RU"/>
        </w:rPr>
        <w:t>Ставрополь, ул. Пономарева, д. 5</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ООО "АРВЭЛЬ"</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153002, ИВАНОВСКАЯ ОБЛАСТЬ, Г. ИВАНОВО, УЛ. КАЛИНИНА, Д. 9/21, ОФИС 352</w:t>
      </w:r>
    </w:p>
    <w:p>
      <w:pPr>
        <w:pStyle w:val="Style11"/>
        <w:keepNext w:val="0"/>
        <w:keepLines w:val="0"/>
        <w:widowControl w:val="0"/>
        <w:shd w:val="clear" w:color="auto" w:fill="auto"/>
        <w:bidi w:val="0"/>
        <w:spacing w:before="0" w:after="560" w:line="240" w:lineRule="auto"/>
        <w:ind w:left="5320" w:right="0" w:firstLine="0"/>
        <w:jc w:val="left"/>
      </w:pPr>
      <w:r>
        <w:rPr>
          <w:color w:val="000000"/>
          <w:spacing w:val="0"/>
          <w:w w:val="100"/>
          <w:position w:val="0"/>
          <w:shd w:val="clear" w:color="auto" w:fill="auto"/>
          <w:lang w:val="ru-RU" w:eastAsia="ru-RU" w:bidi="ru-RU"/>
        </w:rPr>
        <w:t>Шапа@агуе1тед.ги</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по делу № 026/06/106-913/2023</w:t>
        <w:br/>
        <w:t>о нарушении законодательства о закупках</w:t>
      </w:r>
    </w:p>
    <w:p>
      <w:pPr>
        <w:pStyle w:val="Style11"/>
        <w:keepNext w:val="0"/>
        <w:keepLines w:val="0"/>
        <w:widowControl w:val="0"/>
        <w:shd w:val="clear" w:color="auto" w:fill="auto"/>
        <w:tabs>
          <w:tab w:pos="8544" w:val="left"/>
        </w:tabs>
        <w:bidi w:val="0"/>
        <w:spacing w:before="0" w:after="300" w:line="240" w:lineRule="auto"/>
        <w:ind w:left="0" w:right="0" w:firstLine="0"/>
        <w:jc w:val="left"/>
      </w:pPr>
      <w:r>
        <w:rPr>
          <w:color w:val="000000"/>
          <w:spacing w:val="0"/>
          <w:w w:val="100"/>
          <w:position w:val="0"/>
          <w:shd w:val="clear" w:color="auto" w:fill="auto"/>
          <w:lang w:val="ru-RU" w:eastAsia="ru-RU" w:bidi="ru-RU"/>
        </w:rPr>
        <w:t>04.05.2023 года</w:t>
        <w:tab/>
        <w:t>г. Ставрополь</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Председатель Комиссии, заместителя руководителя Управления Федеральной антимонопольной службы по Ставропольскому краю Золиной Г.В.,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Врио заместителя начальника отдела контроля закупок Управления Федеральной антимонопольной службы по Ставропольскому краю Вишневской Е.В., 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уполномоченного органа — Мурзина А.Н.</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заказчика - Жердева Е.П., Бирюкова Н.М.</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от ООО «МН Медикал» - Войтов И.В.</w:t>
      </w:r>
    </w:p>
    <w:p>
      <w:pPr>
        <w:pStyle w:val="Style11"/>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В Ставропольское УФАС России поступила жалоба ООО «АРВЭЛЬ» на действия заказчика - ГБУЗ СК «Городская детская клиническая больница имени Г.К.</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Филиппского» города Ставрополя, уполномоченного органа — Комитета Ставропольского края по государственным закупкам по факту осуществления закупки путем проведения открытого аукциона в электронной форме № </w:t>
      </w:r>
      <w:r>
        <w:fldChar w:fldCharType="begin"/>
      </w:r>
      <w:r>
        <w:rPr/>
        <w:instrText> HYPERLINK "https://zakupki.gov.ru/epz/order/notice/ea20/view/common-info.html?regNumber=0121200004723000505" </w:instrText>
      </w:r>
      <w:r>
        <w:fldChar w:fldCharType="separate"/>
      </w:r>
      <w:r>
        <w:rPr>
          <w:color w:val="000000"/>
          <w:spacing w:val="0"/>
          <w:w w:val="100"/>
          <w:position w:val="0"/>
          <w:shd w:val="clear" w:color="auto" w:fill="auto"/>
          <w:lang w:val="ru-RU" w:eastAsia="ru-RU" w:bidi="ru-RU"/>
        </w:rPr>
        <w:t xml:space="preserve">0121200004723000505 </w:t>
      </w:r>
      <w:r>
        <w:fldChar w:fldCharType="end"/>
      </w:r>
      <w:r>
        <w:rPr>
          <w:color w:val="000000"/>
          <w:spacing w:val="0"/>
          <w:w w:val="100"/>
          <w:position w:val="0"/>
          <w:shd w:val="clear" w:color="auto" w:fill="auto"/>
          <w:lang w:val="ru-RU" w:eastAsia="ru-RU" w:bidi="ru-RU"/>
        </w:rPr>
        <w:t>«Поставка медицинского оборудования, ввод в эксплуатацию медицинского оборудования,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 части осуществления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рассмотрев доводы жалобы, проанализировав имеющиеся в деле документы, проведя в соответствии со ст. 99 Закона внеплановую проверку </w:t>
      </w:r>
      <w:r>
        <w:rPr>
          <w:color w:val="FF0000"/>
          <w:spacing w:val="0"/>
          <w:w w:val="100"/>
          <w:position w:val="0"/>
          <w:shd w:val="clear" w:color="auto" w:fill="auto"/>
          <w:lang w:val="ru-RU" w:eastAsia="ru-RU" w:bidi="ru-RU"/>
        </w:rPr>
        <w:t xml:space="preserve">закупки </w:t>
      </w: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части 1 статьи 1 Закона: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ст. 10 Закона №44-ФЗ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 (Принцип стимулирования инноваций).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42 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2, ст. 42 Закона №44- ФЗ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описание объекта закупки в соответствии со </w:t>
      </w:r>
      <w:r>
        <w:rPr>
          <w:color w:val="0000FF"/>
          <w:spacing w:val="0"/>
          <w:w w:val="100"/>
          <w:position w:val="0"/>
          <w:shd w:val="clear" w:color="auto" w:fill="auto"/>
          <w:lang w:val="ru-RU" w:eastAsia="ru-RU" w:bidi="ru-RU"/>
        </w:rPr>
        <w:t xml:space="preserve">статьей 33 </w:t>
      </w:r>
      <w:r>
        <w:rPr>
          <w:color w:val="000000"/>
          <w:spacing w:val="0"/>
          <w:w w:val="100"/>
          <w:position w:val="0"/>
          <w:shd w:val="clear" w:color="auto" w:fill="auto"/>
          <w:lang w:val="ru-RU" w:eastAsia="ru-RU" w:bidi="ru-RU"/>
        </w:rPr>
        <w:t>настоящего Федерального закона;</w:t>
      </w:r>
    </w:p>
    <w:p>
      <w:pPr>
        <w:pStyle w:val="Style11"/>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1"/>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numPr>
          <w:ilvl w:val="0"/>
          <w:numId w:val="1"/>
        </w:numPr>
        <w:shd w:val="clear" w:color="auto" w:fill="auto"/>
        <w:tabs>
          <w:tab w:pos="11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порядок рассмотрения и оценки заявок на участие в конкурсах в соответствии с настоящим Федеральным законом;</w:t>
      </w:r>
    </w:p>
    <w:p>
      <w:pPr>
        <w:pStyle w:val="Style11"/>
        <w:keepNext w:val="0"/>
        <w:keepLines w:val="0"/>
        <w:widowControl w:val="0"/>
        <w:numPr>
          <w:ilvl w:val="0"/>
          <w:numId w:val="1"/>
        </w:numPr>
        <w:shd w:val="clear" w:color="auto" w:fill="auto"/>
        <w:tabs>
          <w:tab w:pos="187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проект контракта;</w:t>
      </w:r>
    </w:p>
    <w:p>
      <w:pPr>
        <w:pStyle w:val="Style11"/>
        <w:keepNext w:val="0"/>
        <w:keepLines w:val="0"/>
        <w:widowControl w:val="0"/>
        <w:numPr>
          <w:ilvl w:val="0"/>
          <w:numId w:val="1"/>
        </w:numPr>
        <w:shd w:val="clear" w:color="auto" w:fill="auto"/>
        <w:tabs>
          <w:tab w:pos="11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 1 ст. 33 Закона №44-ФЗ заказчик в случаях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18.04.2023 г. заказчиком с помощью уполномоченного органа было размещено извещение о проведении открытого аукциона в электронной форме № </w:t>
      </w:r>
      <w:r>
        <w:fldChar w:fldCharType="begin"/>
      </w:r>
      <w:r>
        <w:rPr/>
        <w:instrText> HYPERLINK "https://zakupki.gov.ru/epz/order/notice/ea20/view/common-info.html?regNumber=0121200004723000505" </w:instrText>
      </w:r>
      <w:r>
        <w:fldChar w:fldCharType="separate"/>
      </w:r>
      <w:r>
        <w:rPr>
          <w:color w:val="000080"/>
          <w:spacing w:val="0"/>
          <w:w w:val="100"/>
          <w:position w:val="0"/>
          <w:shd w:val="clear" w:color="auto" w:fill="auto"/>
          <w:lang w:val="ru-RU" w:eastAsia="ru-RU" w:bidi="ru-RU"/>
        </w:rPr>
        <w:t xml:space="preserve">0121200004723000505 </w:t>
      </w:r>
      <w:r>
        <w:fldChar w:fldCharType="end"/>
      </w:r>
      <w:r>
        <w:rPr>
          <w:color w:val="000000"/>
          <w:spacing w:val="0"/>
          <w:w w:val="100"/>
          <w:position w:val="0"/>
          <w:shd w:val="clear" w:color="auto" w:fill="auto"/>
          <w:lang w:val="ru-RU" w:eastAsia="ru-RU" w:bidi="ru-RU"/>
        </w:rPr>
        <w:t xml:space="preserve">«Поставка медицинского оборудования, ввод в эксплуатацию </w:t>
      </w:r>
      <w:r>
        <w:rPr>
          <w:color w:val="000000"/>
          <w:spacing w:val="0"/>
          <w:w w:val="100"/>
          <w:position w:val="0"/>
          <w:shd w:val="clear" w:color="auto" w:fill="auto"/>
          <w:lang w:val="ru-RU" w:eastAsia="ru-RU" w:bidi="ru-RU"/>
        </w:rPr>
        <w:t>медицинского оборудования,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12 263 333,33 рублей.</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На участие в данной закупки было подано 2 заявки, 2 заявки допущено, падение составило 4,60 %</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 xml:space="preserve">По мнению заявителя жалобы данная закупка содержит признаки ограничения конкуренции товаром единственного производителя — Система ультразвуковая диагностическая медицинская с принадлежностями, варианты исполнения: </w:t>
      </w:r>
      <w:r>
        <w:rPr>
          <w:smallCaps/>
          <w:color w:val="000000"/>
          <w:spacing w:val="0"/>
          <w:w w:val="100"/>
          <w:position w:val="0"/>
          <w:shd w:val="clear" w:color="auto" w:fill="auto"/>
          <w:lang w:val="ru-RU" w:eastAsia="ru-RU" w:bidi="ru-RU"/>
        </w:rPr>
        <w:t xml:space="preserve">У1ук1 </w:t>
      </w:r>
      <w:r>
        <w:rPr>
          <w:color w:val="000000"/>
          <w:spacing w:val="0"/>
          <w:w w:val="100"/>
          <w:position w:val="0"/>
          <w:shd w:val="clear" w:color="auto" w:fill="auto"/>
          <w:lang w:val="ru-RU" w:eastAsia="ru-RU" w:bidi="ru-RU"/>
        </w:rPr>
        <w:t xml:space="preserve">В60Ж </w:t>
      </w:r>
      <w:r>
        <w:rPr>
          <w:smallCaps/>
          <w:color w:val="000000"/>
          <w:spacing w:val="0"/>
          <w:w w:val="100"/>
          <w:position w:val="0"/>
          <w:shd w:val="clear" w:color="auto" w:fill="auto"/>
          <w:lang w:val="ru-RU" w:eastAsia="ru-RU" w:bidi="ru-RU"/>
        </w:rPr>
        <w:t>У1ук1</w:t>
      </w:r>
      <w:r>
        <w:rPr>
          <w:color w:val="000000"/>
          <w:spacing w:val="0"/>
          <w:w w:val="100"/>
          <w:position w:val="0"/>
          <w:shd w:val="clear" w:color="auto" w:fill="auto"/>
          <w:lang w:val="ru-RU" w:eastAsia="ru-RU" w:bidi="ru-RU"/>
        </w:rPr>
        <w:t xml:space="preserve"> В70Ш производитель "ДжиИ Вингмед Ультрасаунд АС". При описании объекта закупки Заказчик установили требования к характеристикам товара таким образом, что в совокупности установленных характеристик поставка товара ограничена одним производителем.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позиции сторон, проанализировав представленные в материалы дела документы, сведения, комиссия пришла к следующим выводам: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вправе включить в извещение о проведении закупки такие характеристики товара, которые отвечают его потребностям и необходимы для выполнения соответствующих функций.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ни Федеральным законом № 44-ФЗ, ни иными правовыми актами в сфере закупок не предусмотрены ограничения по включению в документацию электронного аукциона требований к товарам, являющихся значимыми для заказчика. Более того, согласно правовой позиции, сформированной в постановлении Президиума Высшего Арбитражного суда Российской Федерации от 28.12.2010 № 11017/10 по делу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при осуществлении закупки заказчик вправе определить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При этом заказчик вправе в необходимой степени детализировать предмет закупки, поскольку потребности заказчика являются определяющим фактором при установлении соответствующих требований.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рассмотрении дела заказчиком была представленная письменная позиция, где была приведена сравнительная таблица двух производителей аппаратов ультразвукового сканирования. Исходя из письменных пояснений закачка под требования технического задания подходит помимо У1\чс1 В60Ш. У1\чс1 В70Ш производитель "ДжиИ Вингмед Ультрасаунд АС", еще и Система ультразвуковая </w:t>
      </w:r>
      <w:r>
        <w:rPr>
          <w:color w:val="000000"/>
          <w:spacing w:val="0"/>
          <w:w w:val="100"/>
          <w:position w:val="0"/>
          <w:shd w:val="clear" w:color="auto" w:fill="auto"/>
          <w:lang w:val="ru-RU" w:eastAsia="ru-RU" w:bidi="ru-RU"/>
        </w:rPr>
        <w:t>диагностическая АС^8О^ Кес1\\'оос1 с принадлежностями производства Сименс Медикал Солюшенс, США.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рассмотрения дела был объявлен перерыв для возможности предоставления сторонам дополнительных доказательств в обосновании своих позиций. (перерыв был объявлен до 14:30 04.05.2023 г.)</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После перерыва заказчиком было предоставлено письмо официального производителя 81ЕМЕ№ Неа1Штеег§, которое подтверждает, что Система ультразвуковая диагностическая АС^8О^ Кед\оод с принадлежностями производства Сименс Медикал Солюшенс, США отвечает запрашиваемым клиническим потребностям установленным в техническом задании заказчика.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Дополнительных доказательств, материалов опровергающих приобщенные документы заказчика — заявителем жалобы не представлен в рассмотрении дела.</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на основании вышеизложенного, доводы заявителя жалобы необоснованны.</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Заявителем не предоставлено ни одного документального подтверждения доводов жалобы, с точки зрения достаточности, представленных доказательств, которые бы позволяли сделать вывод об ограничении участников закупки действиями Заказчика при проведении закупки.</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 материалах дела отсутствуют документальные подтверждения, свидетельствующие о невозможности подачи заявки ООО «АРВЭЛЬ» в целях участия в аукционе.</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Необходимо отметить, согласно п.</w:t>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3.33</w:t>
      </w:r>
      <w:r>
        <w:rPr>
          <w:color w:val="000000"/>
          <w:spacing w:val="0"/>
          <w:w w:val="100"/>
          <w:position w:val="0"/>
          <w:shd w:val="clear" w:color="auto" w:fill="auto"/>
          <w:lang w:val="ru-RU" w:eastAsia="ru-RU" w:bidi="ru-RU"/>
        </w:rPr>
        <w:t xml:space="preserve">. Приказа ФАС России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от 19.11.2014 К 727/14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Pr>
          <w:b/>
          <w:bCs/>
          <w:color w:val="000000"/>
          <w:spacing w:val="0"/>
          <w:w w:val="100"/>
          <w:position w:val="0"/>
          <w:u w:val="single"/>
          <w:shd w:val="clear" w:color="auto" w:fill="auto"/>
          <w:lang w:val="ru-RU" w:eastAsia="ru-RU" w:bidi="ru-RU"/>
        </w:rPr>
        <w:t>на основании документов и сведений, представленных на заседание Комиссии.</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В случае, если член Комиссии не согласен с решением, он излагает письменно особое мнение. При </w:t>
      </w:r>
      <w:r>
        <w:rPr>
          <w:b/>
          <w:bCs/>
          <w:color w:val="000000"/>
          <w:spacing w:val="0"/>
          <w:w w:val="100"/>
          <w:position w:val="0"/>
          <w:u w:val="single"/>
          <w:shd w:val="clear" w:color="auto" w:fill="auto"/>
          <w:lang w:val="ru-RU" w:eastAsia="ru-RU" w:bidi="ru-RU"/>
        </w:rPr>
        <w:t>принятии решения учитываются обстоятельства дела, установленные Комиссией в результате рассмотрения жалобы и проведения внеплановой проверки.</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в действиях заказчика в части доводов заявителя жалобы нарушений требований Закона №44-ФЗ не установлено,</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 xml:space="preserve">Комиссия, руководствуясь ст. 99, ст. 106 Федерального закона от 05.04.2013 </w:t>
      </w:r>
      <w:r>
        <w:rPr>
          <w:color w:val="000000"/>
          <w:spacing w:val="0"/>
          <w:w w:val="100"/>
          <w:position w:val="0"/>
          <w:shd w:val="clear" w:color="auto" w:fill="auto"/>
          <w:lang w:val="ru-RU" w:eastAsia="ru-RU" w:bidi="ru-RU"/>
        </w:rPr>
        <w:t>года № 44-ФЗ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1. Признать жалобу ООО «АРВЭЛЬ» на действия заказчика - ГБУЗ СК «Городская детская клиническая больница имени Г.К. Филиппского» города Ставрополя, уполномоченного органа — Комитета Ставропольского края по государственным закупкам по факту осуществления закупки путем проведения открытого аукциона в электронной форме №</w:t>
      </w:r>
      <w:r>
        <w:fldChar w:fldCharType="begin"/>
      </w:r>
      <w:r>
        <w:rPr/>
        <w:instrText> HYPERLINK "https://zakupki.gov.ru/epz/order/notice/ea20/view/common-info.html?regNumber=0121200004723000505" </w:instrText>
      </w:r>
      <w:r>
        <w:fldChar w:fldCharType="separate"/>
      </w:r>
      <w:r>
        <w:rPr>
          <w:color w:val="000000"/>
          <w:spacing w:val="0"/>
          <w:w w:val="100"/>
          <w:position w:val="0"/>
          <w:shd w:val="clear" w:color="auto" w:fill="auto"/>
          <w:lang w:val="ru-RU" w:eastAsia="ru-RU" w:bidi="ru-RU"/>
        </w:rPr>
        <w:t xml:space="preserve"> 0121200004723000505 </w:t>
      </w:r>
      <w:r>
        <w:fldChar w:fldCharType="end"/>
      </w:r>
      <w:r>
        <w:rPr>
          <w:color w:val="000000"/>
          <w:spacing w:val="0"/>
          <w:w w:val="100"/>
          <w:position w:val="0"/>
          <w:shd w:val="clear" w:color="auto" w:fill="auto"/>
          <w:lang w:val="ru-RU" w:eastAsia="ru-RU" w:bidi="ru-RU"/>
        </w:rPr>
        <w:t>«Поставка медицинского оборудования, ввод в эксплуатацию медицинского оборудования,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 - необоснованной.</w:t>
      </w:r>
    </w:p>
    <w:p>
      <w:pPr>
        <w:pStyle w:val="Style11"/>
        <w:keepNext w:val="0"/>
        <w:keepLines w:val="0"/>
        <w:widowControl w:val="0"/>
        <w:shd w:val="clear" w:color="auto" w:fill="auto"/>
        <w:bidi w:val="0"/>
        <w:spacing w:before="0" w:after="62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tabs>
          <w:tab w:pos="8702" w:val="left"/>
        </w:tabs>
        <w:bidi w:val="0"/>
        <w:spacing w:before="0" w:after="620" w:line="240" w:lineRule="auto"/>
        <w:ind w:left="0" w:right="0" w:firstLine="0"/>
        <w:jc w:val="left"/>
      </w:pPr>
      <w:r>
        <w:rPr>
          <w:color w:val="000000"/>
          <w:spacing w:val="0"/>
          <w:w w:val="100"/>
          <w:position w:val="0"/>
          <w:shd w:val="clear" w:color="auto" w:fill="auto"/>
          <w:lang w:val="ru-RU" w:eastAsia="ru-RU" w:bidi="ru-RU"/>
        </w:rPr>
        <w:t>Председатель комиссии</w:t>
        <w:tab/>
        <w:t>Г.В. Золина</w:t>
      </w:r>
    </w:p>
    <w:p>
      <w:pPr>
        <w:pStyle w:val="Style11"/>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Е.В. Вишневская</w:t>
      </w:r>
    </w:p>
    <w:p>
      <w:pPr>
        <w:pStyle w:val="Style11"/>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5280" w:line="240" w:lineRule="auto"/>
        <w:ind w:left="0" w:right="0" w:firstLine="0"/>
        <w:jc w:val="right"/>
      </w:pPr>
      <w:r>
        <w:rPr>
          <w:color w:val="000000"/>
          <w:spacing w:val="0"/>
          <w:w w:val="100"/>
          <w:position w:val="0"/>
          <w:shd w:val="clear" w:color="auto" w:fill="auto"/>
          <w:lang w:val="ru-RU" w:eastAsia="ru-RU" w:bidi="ru-RU"/>
        </w:rPr>
        <w:t>Б. Ш. Карпель</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тел.(8652) 35-28-07, вн.026-285</w:t>
      </w:r>
    </w:p>
    <w:sectPr>
      <w:footerReference w:type="default" r:id="rId9"/>
      <w:footerReference w:type="first" r:id="rId10"/>
      <w:footnotePr>
        <w:pos w:val="pageBottom"/>
        <w:numFmt w:val="decimal"/>
        <w:numRestart w:val="continuous"/>
      </w:footnotePr>
      <w:pgSz w:w="11900" w:h="16840"/>
      <w:pgMar w:top="1091" w:right="514" w:bottom="1298" w:left="1090"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10001250</wp:posOffset>
              </wp:positionV>
              <wp:extent cx="646430" cy="100330"/>
              <wp:wrapNone/>
              <wp:docPr id="9" name="Shape 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2023-5398</w:t>
                          </w:r>
                        </w:p>
                      </w:txbxContent>
                    </wps:txbx>
                    <wps:bodyPr wrap="none" lIns="0" tIns="0" rIns="0" bIns="0">
                      <a:spAutoFit/>
                    </wps:bodyPr>
                  </wps:wsp>
                </a:graphicData>
              </a:graphic>
            </wp:anchor>
          </w:drawing>
        </mc:Choice>
        <mc:Fallback>
          <w:pict>
            <v:shape id="_x0000_s1035" type="#_x0000_t202" style="position:absolute;margin-left:57.149999999999999pt;margin-top:787.5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710565</wp:posOffset>
              </wp:positionH>
              <wp:positionV relativeFrom="page">
                <wp:posOffset>9932670</wp:posOffset>
              </wp:positionV>
              <wp:extent cx="646430" cy="100330"/>
              <wp:wrapNone/>
              <wp:docPr id="11" name="Shape 1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2023-5398</w:t>
                          </w:r>
                        </w:p>
                      </w:txbxContent>
                    </wps:txbx>
                    <wps:bodyPr wrap="none" lIns="0" tIns="0" rIns="0" bIns="0">
                      <a:spAutoFit/>
                    </wps:bodyPr>
                  </wps:wsp>
                </a:graphicData>
              </a:graphic>
            </wp:anchor>
          </w:drawing>
        </mc:Choice>
        <mc:Fallback>
          <w:pict>
            <v:shape id="_x0000_s1037" type="#_x0000_t202" style="position:absolute;margin-left:55.950000000000003pt;margin-top:782.10000000000002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1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8">
    <w:name w:val="Основной текст (4)"/>
    <w:basedOn w:val="Normal"/>
    <w:link w:val="CharStyle9"/>
    <w:pPr>
      <w:widowControl w:val="0"/>
      <w:shd w:val="clear" w:color="auto" w:fill="auto"/>
      <w:spacing w:after="28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