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10"/>
        <w:keepNext w:val="0"/>
        <w:keepLines w:val="0"/>
        <w:widowControl w:val="0"/>
        <w:shd w:val="clear" w:color="auto" w:fill="auto"/>
        <w:bidi w:val="0"/>
        <w:spacing w:before="0" w:after="60" w:line="240" w:lineRule="auto"/>
        <w:ind w:left="2080" w:right="0" w:firstLine="0"/>
        <w:jc w:val="left"/>
        <w:rPr>
          <w:sz w:val="134"/>
          <w:szCs w:val="134"/>
        </w:rPr>
      </w:pPr>
      <w:r>
        <mc:AlternateContent>
          <mc:Choice Requires="wps">
            <w:drawing>
              <wp:anchor distT="0" distB="0" distL="114300" distR="114300" simplePos="0" relativeHeight="125829378" behindDoc="0" locked="0" layoutInCell="1" allowOverlap="1">
                <wp:simplePos x="0" y="0"/>
                <wp:positionH relativeFrom="page">
                  <wp:posOffset>4063365</wp:posOffset>
                </wp:positionH>
                <wp:positionV relativeFrom="paragraph">
                  <wp:posOffset>876300</wp:posOffset>
                </wp:positionV>
                <wp:extent cx="1572895" cy="250190"/>
                <wp:wrapSquare wrapText="left"/>
                <wp:docPr id="1" name="Shape 1"/>
                <a:graphic xmlns:a="http://schemas.openxmlformats.org/drawingml/2006/main">
                  <a:graphicData uri="http://schemas.microsoft.com/office/word/2010/wordprocessingShape">
                    <wps:wsp>
                      <wps:cNvSpPr txBox="1"/>
                      <wps:spPr>
                        <a:xfrm>
                          <a:ext cx="157289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списку рассылки</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19.94999999999999pt;margin-top:69.pt;width:123.85000000000001pt;height:19.699999999999999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списку рассылки</w:t>
                      </w:r>
                    </w:p>
                  </w:txbxContent>
                </v:textbox>
                <w10:wrap type="square" side="left" anchorx="page"/>
              </v:shape>
            </w:pict>
          </mc:Fallback>
        </mc:AlternateContent>
      </w:r>
      <w:r>
        <w:rPr>
          <w:color w:val="4460A2"/>
          <w:spacing w:val="0"/>
          <w:w w:val="100"/>
          <w:position w:val="0"/>
          <w:sz w:val="134"/>
          <w:szCs w:val="134"/>
          <w:u w:val="single"/>
          <w:shd w:val="clear" w:color="auto" w:fill="auto"/>
          <w:lang w:val="ru-RU" w:eastAsia="ru-RU" w:bidi="ru-RU"/>
        </w:rPr>
        <w:t>е</w:t>
      </w:r>
    </w:p>
    <w:p>
      <w:pPr>
        <w:pStyle w:val="Style16"/>
        <w:keepNext w:val="0"/>
        <w:keepLines w:val="0"/>
        <w:widowControl w:val="0"/>
        <w:shd w:val="clear" w:color="auto" w:fill="auto"/>
        <w:bidi w:val="0"/>
        <w:spacing w:before="0" w:after="160" w:line="288" w:lineRule="auto"/>
        <w:ind w:left="1100" w:right="0" w:firstLine="720"/>
        <w:jc w:val="left"/>
        <w:rPr>
          <w:sz w:val="17"/>
          <w:szCs w:val="17"/>
        </w:rPr>
      </w:pPr>
      <w:r>
        <w:rPr>
          <w:b/>
          <w:bCs/>
          <w:color w:val="4460A2"/>
          <w:spacing w:val="0"/>
          <w:w w:val="100"/>
          <w:position w:val="0"/>
          <w:sz w:val="17"/>
          <w:szCs w:val="17"/>
          <w:shd w:val="clear" w:color="auto" w:fill="auto"/>
          <w:lang w:val="ru-RU" w:eastAsia="ru-RU" w:bidi="ru-RU"/>
        </w:rPr>
        <w:t>ФЕДЕРАЛЬНАЯ АНТИМОНОПОЛЬНАЯ СЛУЖБА</w:t>
      </w:r>
    </w:p>
    <w:p>
      <w:pPr>
        <w:pStyle w:val="Style16"/>
        <w:keepNext w:val="0"/>
        <w:keepLines w:val="0"/>
        <w:widowControl w:val="0"/>
        <w:shd w:val="clear" w:color="auto" w:fill="auto"/>
        <w:bidi w:val="0"/>
        <w:spacing w:before="0" w:after="0" w:line="283" w:lineRule="auto"/>
        <w:ind w:left="1800" w:right="0" w:firstLine="0"/>
        <w:jc w:val="left"/>
        <w:rPr>
          <w:sz w:val="17"/>
          <w:szCs w:val="17"/>
        </w:rPr>
      </w:pPr>
      <w:r>
        <w:rPr>
          <w:b/>
          <w:bCs/>
          <w:color w:val="4460A2"/>
          <w:spacing w:val="0"/>
          <w:w w:val="100"/>
          <w:position w:val="0"/>
          <w:sz w:val="17"/>
          <w:szCs w:val="17"/>
          <w:shd w:val="clear" w:color="auto" w:fill="auto"/>
          <w:lang w:val="ru-RU" w:eastAsia="ru-RU" w:bidi="ru-RU"/>
        </w:rPr>
        <w:t>УПРАВЛЕНИЕ</w:t>
      </w:r>
    </w:p>
    <w:p>
      <w:pPr>
        <w:pStyle w:val="Style16"/>
        <w:keepNext w:val="0"/>
        <w:keepLines w:val="0"/>
        <w:widowControl w:val="0"/>
        <w:shd w:val="clear" w:color="auto" w:fill="auto"/>
        <w:bidi w:val="0"/>
        <w:spacing w:before="0" w:after="160" w:line="283"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Федеральной антимонопольной службы</w:t>
        <w:br/>
        <w:t>по Калининградской области</w:t>
      </w:r>
    </w:p>
    <w:p>
      <w:pPr>
        <w:pStyle w:val="Style16"/>
        <w:keepNext w:val="0"/>
        <w:keepLines w:val="0"/>
        <w:widowControl w:val="0"/>
        <w:shd w:val="clear" w:color="auto" w:fill="auto"/>
        <w:bidi w:val="0"/>
        <w:spacing w:before="0" w:after="0" w:line="264"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Барнаульская 4, г. Калининград, 236006</w:t>
        <w:br/>
        <w:t>бокс № 5033</w:t>
      </w:r>
    </w:p>
    <w:p>
      <w:pPr>
        <w:pStyle w:val="Style16"/>
        <w:keepNext w:val="0"/>
        <w:keepLines w:val="0"/>
        <w:widowControl w:val="0"/>
        <w:shd w:val="clear" w:color="auto" w:fill="auto"/>
        <w:bidi w:val="0"/>
        <w:spacing w:before="0" w:after="0" w:line="264" w:lineRule="auto"/>
        <w:ind w:left="0" w:right="0" w:firstLine="980"/>
        <w:jc w:val="left"/>
        <w:rPr>
          <w:sz w:val="16"/>
          <w:szCs w:val="16"/>
        </w:rPr>
      </w:pPr>
      <w:r>
        <w:rPr>
          <w:color w:val="4460A2"/>
          <w:spacing w:val="0"/>
          <w:w w:val="100"/>
          <w:position w:val="0"/>
          <w:sz w:val="16"/>
          <w:szCs w:val="16"/>
          <w:shd w:val="clear" w:color="auto" w:fill="auto"/>
          <w:lang w:val="ru-RU" w:eastAsia="ru-RU" w:bidi="ru-RU"/>
        </w:rPr>
        <w:t>тел. (4012) 53-72-01, факс (4012) 53-72-00</w:t>
      </w:r>
    </w:p>
    <w:p>
      <w:pPr>
        <w:pStyle w:val="Style10"/>
        <w:keepNext w:val="0"/>
        <w:keepLines w:val="0"/>
        <w:widowControl w:val="0"/>
        <w:shd w:val="clear" w:color="auto" w:fill="auto"/>
        <w:bidi w:val="0"/>
        <w:spacing w:before="0" w:after="60" w:line="233" w:lineRule="auto"/>
        <w:ind w:left="1700" w:right="0" w:firstLine="0"/>
        <w:jc w:val="left"/>
        <w:rPr>
          <w:sz w:val="14"/>
          <w:szCs w:val="14"/>
        </w:rPr>
      </w:pPr>
      <w:r>
        <w:rPr>
          <w:color w:val="4460A2"/>
          <w:spacing w:val="0"/>
          <w:w w:val="100"/>
          <w:position w:val="0"/>
          <w:sz w:val="18"/>
          <w:szCs w:val="18"/>
          <w:shd w:val="clear" w:color="auto" w:fill="auto"/>
          <w:lang w:val="ru-RU" w:eastAsia="ru-RU" w:bidi="ru-RU"/>
        </w:rPr>
        <w:t xml:space="preserve">е-тай: </w:t>
      </w:r>
      <w:r>
        <w:rPr>
          <w:smallCaps/>
          <w:color w:val="4460A2"/>
          <w:spacing w:val="0"/>
          <w:w w:val="100"/>
          <w:position w:val="0"/>
          <w:sz w:val="14"/>
          <w:szCs w:val="14"/>
          <w:shd w:val="clear" w:color="auto" w:fill="auto"/>
          <w:lang w:val="ru-RU" w:eastAsia="ru-RU" w:bidi="ru-RU"/>
        </w:rPr>
        <w:t>1о39@&amp;8.§оу.ги</w:t>
      </w:r>
    </w:p>
    <w:p>
      <w:pPr>
        <w:pStyle w:val="Style2"/>
        <w:keepNext w:val="0"/>
        <w:keepLines w:val="0"/>
        <w:widowControl w:val="0"/>
        <w:shd w:val="clear" w:color="auto" w:fill="auto"/>
        <w:tabs>
          <w:tab w:pos="2354" w:val="left"/>
        </w:tabs>
        <w:bidi w:val="0"/>
        <w:spacing w:before="0" w:after="300" w:line="240" w:lineRule="auto"/>
        <w:ind w:left="0" w:right="0" w:firstLine="540"/>
        <w:jc w:val="left"/>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НИ/2079/2</w:t>
      </w:r>
      <w:r>
        <w:rPr>
          <w:color w:val="000000"/>
          <w:spacing w:val="0"/>
          <w:w w:val="100"/>
          <w:position w:val="0"/>
          <w:sz w:val="30"/>
          <w:szCs w:val="30"/>
          <w:shd w:val="clear" w:color="auto" w:fill="auto"/>
          <w:lang w:val="ru-RU" w:eastAsia="ru-RU" w:bidi="ru-RU"/>
        </w:rPr>
        <w:t>3</w:t>
      </w:r>
    </w:p>
    <w:p>
      <w:pPr>
        <w:pStyle w:val="Style16"/>
        <w:keepNext w:val="0"/>
        <w:keepLines w:val="0"/>
        <w:widowControl w:val="0"/>
        <w:shd w:val="clear" w:color="auto" w:fill="auto"/>
        <w:bidi w:val="0"/>
        <w:spacing w:before="0" w:after="620" w:line="266" w:lineRule="auto"/>
        <w:ind w:left="0" w:right="0" w:firstLine="400"/>
        <w:jc w:val="both"/>
      </w:pPr>
      <w:r>
        <w:rPr>
          <w:color w:val="4460A2"/>
          <w:spacing w:val="0"/>
          <w:w w:val="100"/>
          <w:position w:val="0"/>
          <w:shd w:val="clear" w:color="auto" w:fill="auto"/>
          <w:lang w:val="ru-RU" w:eastAsia="ru-RU" w:bidi="ru-RU"/>
        </w:rPr>
        <w:t xml:space="preserve">На №  от</w:t>
      </w:r>
    </w:p>
    <w:p>
      <w:pPr>
        <w:pStyle w:val="Style4"/>
        <w:keepNext w:val="0"/>
        <w:keepLines w:val="0"/>
        <w:widowControl w:val="0"/>
        <w:shd w:val="clear" w:color="auto" w:fill="auto"/>
        <w:bidi w:val="0"/>
        <w:spacing w:before="0" w:after="620" w:line="240" w:lineRule="auto"/>
        <w:ind w:left="540" w:right="0" w:firstLine="40"/>
        <w:jc w:val="both"/>
        <w:rPr>
          <w:sz w:val="24"/>
          <w:szCs w:val="24"/>
        </w:rPr>
      </w:pPr>
      <w:r>
        <w:rPr>
          <w:color w:val="000000"/>
          <w:spacing w:val="0"/>
          <w:w w:val="100"/>
          <w:position w:val="0"/>
          <w:sz w:val="24"/>
          <w:szCs w:val="24"/>
          <w:shd w:val="clear" w:color="auto" w:fill="auto"/>
          <w:lang w:val="ru-RU" w:eastAsia="ru-RU" w:bidi="ru-RU"/>
        </w:rPr>
        <w:t>Решение по делу № 039/06/45 335/2023</w:t>
      </w:r>
    </w:p>
    <w:p>
      <w:pPr>
        <w:pStyle w:val="Style2"/>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hd w:val="clear" w:color="auto" w:fill="auto"/>
          <w:lang w:val="ru-RU" w:eastAsia="ru-RU" w:bidi="ru-RU"/>
        </w:rPr>
        <w:t>РЕШЕНИЕ по делу № 039/06/45-335/2023</w:t>
      </w:r>
    </w:p>
    <w:p>
      <w:pPr>
        <w:pStyle w:val="Style4"/>
        <w:keepNext w:val="0"/>
        <w:keepLines w:val="0"/>
        <w:widowControl w:val="0"/>
        <w:shd w:val="clear" w:color="auto" w:fill="auto"/>
        <w:bidi w:val="0"/>
        <w:spacing w:before="0" w:after="0" w:line="240" w:lineRule="auto"/>
        <w:ind w:left="0" w:right="0" w:firstLine="540"/>
        <w:jc w:val="left"/>
      </w:pPr>
      <w:r>
        <mc:AlternateContent>
          <mc:Choice Requires="wps">
            <w:drawing>
              <wp:anchor distT="0" distB="0" distL="114300" distR="114300" simplePos="0" relativeHeight="125829380" behindDoc="0" locked="0" layoutInCell="1" allowOverlap="1">
                <wp:simplePos x="0" y="0"/>
                <wp:positionH relativeFrom="page">
                  <wp:posOffset>6282055</wp:posOffset>
                </wp:positionH>
                <wp:positionV relativeFrom="paragraph">
                  <wp:posOffset>12700</wp:posOffset>
                </wp:positionV>
                <wp:extent cx="923290" cy="201295"/>
                <wp:wrapSquare wrapText="left"/>
                <wp:docPr id="3" name="Shape 3"/>
                <a:graphic xmlns:a="http://schemas.openxmlformats.org/drawingml/2006/main">
                  <a:graphicData uri="http://schemas.microsoft.com/office/word/2010/wordprocessingShape">
                    <wps:wsp>
                      <wps:cNvSpPr txBox="1"/>
                      <wps:spPr>
                        <a:xfrm>
                          <a:ext cx="923290" cy="2012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Калининград</w:t>
                            </w:r>
                          </w:p>
                        </w:txbxContent>
                      </wps:txbx>
                      <wps:bodyPr wrap="none" lIns="0" tIns="0" rIns="0" bIns="0">
                        <a:noAutoFit/>
                      </wps:bodyPr>
                    </wps:wsp>
                  </a:graphicData>
                </a:graphic>
              </wp:anchor>
            </w:drawing>
          </mc:Choice>
          <mc:Fallback>
            <w:pict>
              <v:shape id="_x0000_s1029" type="#_x0000_t202" style="position:absolute;margin-left:494.65000000000003pt;margin-top:1.pt;width:72.700000000000003pt;height:15.85pt;z-index:-125829373;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Калининград</w:t>
                      </w:r>
                    </w:p>
                  </w:txbxContent>
                </v:textbox>
                <w10:wrap type="square" side="left" anchorx="page"/>
              </v:shape>
            </w:pict>
          </mc:Fallback>
        </mc:AlternateContent>
      </w:r>
      <w:r>
        <w:rPr>
          <w:color w:val="000000"/>
          <w:spacing w:val="0"/>
          <w:w w:val="100"/>
          <w:position w:val="0"/>
          <w:shd w:val="clear" w:color="auto" w:fill="auto"/>
          <w:lang w:val="ru-RU" w:eastAsia="ru-RU" w:bidi="ru-RU"/>
        </w:rPr>
        <w:t>Резолютивная часть объявлена 03.05.2023</w:t>
      </w:r>
    </w:p>
    <w:p>
      <w:pPr>
        <w:pStyle w:val="Style4"/>
        <w:keepNext w:val="0"/>
        <w:keepLines w:val="0"/>
        <w:widowControl w:val="0"/>
        <w:shd w:val="clear" w:color="auto" w:fill="auto"/>
        <w:bidi w:val="0"/>
        <w:spacing w:before="0" w:after="300" w:line="240" w:lineRule="auto"/>
        <w:ind w:left="0" w:right="0" w:firstLine="540"/>
        <w:jc w:val="left"/>
      </w:pPr>
      <w:r>
        <w:rPr>
          <w:color w:val="000000"/>
          <w:spacing w:val="0"/>
          <w:w w:val="100"/>
          <w:position w:val="0"/>
          <w:shd w:val="clear" w:color="auto" w:fill="auto"/>
          <w:lang w:val="ru-RU" w:eastAsia="ru-RU" w:bidi="ru-RU"/>
        </w:rPr>
        <w:t>Изготовлено в полном объеме 10.05.2023</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Н.С. Иванова - заместитель руководителя - начальник отдела контроля органов власти, закупок и рекламы Калининградского УФАС России;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Ю.А. Зацепина - заместитель начальника отдела контроля органов власти, закупок и рекламы Калининградского УФАС России;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В.И. Прудникова - специалист-эксперт отдела контроля органов власти, закупок и рекламы Калининградского УФАС России,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с участием представителей:</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заказчика - государственного бюджетного учреждения культуры «Калининградский областной музей изобразительных искусств»: О.В. Кушнаревой (по доверенности);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уполномоченного учреждения - государственного казенного учреждения Калининградской области «Центр обеспечения организации и проведения торгов»: А.В. Лигостаева (по доверенности), В.И. Белоговой (по доверенности);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отсутствие представителей заявителя - ООО Проект «Экспозиция», КИВИ Банк (АО), уведомленных надлежащим образом о дате и времени заседания Комиссии,</w:t>
      </w:r>
    </w:p>
    <w:p>
      <w:pPr>
        <w:pStyle w:val="Style2"/>
        <w:keepNext w:val="0"/>
        <w:keepLines w:val="0"/>
        <w:widowControl w:val="0"/>
        <w:shd w:val="clear" w:color="auto" w:fill="auto"/>
        <w:bidi w:val="0"/>
        <w:spacing w:before="0" w:after="300" w:line="240" w:lineRule="auto"/>
        <w:ind w:left="0" w:right="0" w:firstLine="580"/>
        <w:jc w:val="both"/>
      </w:pPr>
      <w:r>
        <w:rPr>
          <w:color w:val="000000"/>
          <w:spacing w:val="0"/>
          <w:w w:val="100"/>
          <w:position w:val="0"/>
          <w:shd w:val="clear" w:color="auto" w:fill="auto"/>
          <w:lang w:val="ru-RU" w:eastAsia="ru-RU" w:bidi="ru-RU"/>
        </w:rPr>
        <w:t>рассмотрев в режиме видеоконференцсвязи посредством плагина «ТгиеСопГ» жалобу (вх. № 3274/22 от 26.04.2023) ООО Проект «Экспозиция» на действия уполномоченного учреждения - государственного казенного учреждения Калининградской области «Центр</w:t>
      </w:r>
    </w:p>
    <w:p>
      <w:pPr>
        <w:pStyle w:val="Style10"/>
        <w:keepNext w:val="0"/>
        <w:keepLines w:val="0"/>
        <w:widowControl w:val="0"/>
        <w:shd w:val="clear" w:color="auto" w:fill="auto"/>
        <w:bidi w:val="0"/>
        <w:spacing w:before="0" w:after="0" w:line="240" w:lineRule="auto"/>
        <w:ind w:left="0" w:right="0"/>
        <w:jc w:val="left"/>
      </w:pPr>
      <w:r>
        <w:rPr>
          <w:rFonts w:ascii="Arial" w:eastAsia="Arial" w:hAnsi="Arial" w:cs="Arial"/>
          <w:color w:val="000000"/>
          <w:spacing w:val="0"/>
          <w:w w:val="100"/>
          <w:position w:val="0"/>
          <w:sz w:val="38"/>
          <w:szCs w:val="38"/>
          <w:shd w:val="clear" w:color="auto" w:fill="auto"/>
          <w:lang w:val="ru-RU" w:eastAsia="ru-RU" w:bidi="ru-RU"/>
        </w:rPr>
        <w:t xml:space="preserve">|||||||||||||||||||||||| </w:t>
      </w:r>
      <w:r>
        <w:rPr>
          <w:rStyle w:val="CharStyle3"/>
        </w:rPr>
        <w:t>обеспечения организации и проведения торгов» при проведении электронного аукциона, предметом которого является поставка витрин для осуществления экспозиционно</w:t>
        <w:softHyphen/>
        <w:t>выставочной деятельности (извещение № 0335200014923001115) (далее - Аукцион),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8"/>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В Управление Федеральной антимонопольной службы по Калининградской области 26.04.2023 поступила жалоба Заявителя на действия комиссии Уполномоченного учреждения при рассмотрении заявок на участие в Аукционе.</w:t>
      </w:r>
      <w:bookmarkEnd w:id="0"/>
    </w:p>
    <w:p>
      <w:pPr>
        <w:pStyle w:val="Style28"/>
        <w:keepNext/>
        <w:keepLines/>
        <w:widowControl w:val="0"/>
        <w:shd w:val="clear" w:color="auto" w:fill="auto"/>
        <w:bidi w:val="0"/>
        <w:spacing w:before="0" w:line="240" w:lineRule="auto"/>
        <w:ind w:left="0" w:right="0" w:firstLine="0"/>
        <w:jc w:val="center"/>
      </w:pPr>
      <w:bookmarkStart w:id="2" w:name="bookmark2"/>
      <w:r>
        <w:rPr>
          <w:b/>
          <w:bCs/>
          <w:color w:val="000000"/>
          <w:spacing w:val="0"/>
          <w:w w:val="100"/>
          <w:position w:val="0"/>
          <w:shd w:val="clear" w:color="auto" w:fill="auto"/>
          <w:lang w:val="ru-RU" w:eastAsia="ru-RU" w:bidi="ru-RU"/>
        </w:rPr>
        <w:t>В обоснование своей жалобы Заявитель привел следующие доводы</w:t>
      </w:r>
      <w:bookmarkEnd w:id="2"/>
    </w:p>
    <w:p>
      <w:pPr>
        <w:pStyle w:val="Style2"/>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По мнению Заявителя, комиссией Уполномоченного учреждения неправомерно принято решение о признании заявки ООО Проект «Экспозиция» несоответствующей требованиям извещения о проведении Аукциона в связи с несоответствием независимой гарантии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утвержденной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Уполномоченным учреждением даны следующие пояснения</w:t>
        <w:br/>
        <w:t>по сути жалобы Заявителя</w:t>
      </w:r>
    </w:p>
    <w:p>
      <w:pPr>
        <w:pStyle w:val="Style2"/>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Уполномоченное учреждение с доводом жалобы Заявителя не согласно, считает, что действия комиссии Уполномоченного учреждения при рассмотрении заявок на участие в Аукционе соответствуют требованиям Закона о контрактной системе.</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Заказчиком даны следующие пояснения по сути жалобы Заявителя</w:t>
      </w:r>
    </w:p>
    <w:p>
      <w:pPr>
        <w:pStyle w:val="Style2"/>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Заказчик не согласился с доводом жалобы Заявителя, полагает, что действия комиссии Уполномоченного учреждения при рассмотрении заявок на участие в Аукционе соответствуют требованиям Закона о контрактной системе.</w:t>
      </w:r>
    </w:p>
    <w:p>
      <w:pPr>
        <w:pStyle w:val="Style2"/>
        <w:keepNext w:val="0"/>
        <w:keepLines w:val="0"/>
        <w:widowControl w:val="0"/>
        <w:shd w:val="clear" w:color="auto" w:fill="auto"/>
        <w:bidi w:val="0"/>
        <w:spacing w:before="0" w:after="280" w:line="240" w:lineRule="auto"/>
        <w:ind w:left="0" w:right="0" w:firstLine="580"/>
        <w:jc w:val="both"/>
      </w:pPr>
      <w:r>
        <w:rPr>
          <w:b/>
          <w:bCs/>
          <w:color w:val="000000"/>
          <w:spacing w:val="0"/>
          <w:w w:val="100"/>
          <w:position w:val="0"/>
          <w:shd w:val="clear" w:color="auto" w:fill="auto"/>
          <w:lang w:val="ru-RU" w:eastAsia="ru-RU" w:bidi="ru-RU"/>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14.04.2023 Уполномоченным учреждением на официальном сайте единой информационной системы в сфере закупок размещено извещение об осуществлении </w:t>
      </w:r>
      <w:r>
        <w:rPr>
          <w:color w:val="000000"/>
          <w:spacing w:val="0"/>
          <w:w w:val="100"/>
          <w:position w:val="0"/>
          <w:shd w:val="clear" w:color="auto" w:fill="auto"/>
          <w:lang w:val="ru-RU" w:eastAsia="ru-RU" w:bidi="ru-RU"/>
        </w:rPr>
        <w:t>закупки № 0335200014923001115 с приложениями.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- 4 570 626,67 рублей.</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Как установлено пунктом 16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настоящего Федерального закона.</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части 4 статьи 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частью 1 статьи 45 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w:t>
      </w:r>
    </w:p>
    <w:p>
      <w:pPr>
        <w:pStyle w:val="Style2"/>
        <w:keepNext w:val="0"/>
        <w:keepLines w:val="0"/>
        <w:widowControl w:val="0"/>
        <w:numPr>
          <w:ilvl w:val="0"/>
          <w:numId w:val="1"/>
        </w:numPr>
        <w:shd w:val="clear" w:color="auto" w:fill="auto"/>
        <w:tabs>
          <w:tab w:pos="104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банками, соответствующими требованиям, установленным Правительством Российской Федерации, и включенными в перечень, предусмотренный частью 1.2 настоящей статьи;</w:t>
      </w:r>
    </w:p>
    <w:p>
      <w:pPr>
        <w:pStyle w:val="Style2"/>
        <w:keepNext w:val="0"/>
        <w:keepLines w:val="0"/>
        <w:widowControl w:val="0"/>
        <w:numPr>
          <w:ilvl w:val="0"/>
          <w:numId w:val="1"/>
        </w:numPr>
        <w:shd w:val="clear" w:color="auto" w:fill="auto"/>
        <w:tabs>
          <w:tab w:pos="162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государственной корпорацией развития «ВЭБ.РФ»;</w:t>
      </w:r>
    </w:p>
    <w:p>
      <w:pPr>
        <w:pStyle w:val="Style2"/>
        <w:keepNext w:val="0"/>
        <w:keepLines w:val="0"/>
        <w:widowControl w:val="0"/>
        <w:numPr>
          <w:ilvl w:val="0"/>
          <w:numId w:val="1"/>
        </w:numPr>
        <w:shd w:val="clear" w:color="auto" w:fill="auto"/>
        <w:tabs>
          <w:tab w:pos="104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 209-ФЗ «О развитии малого и среднего предпринимательства в Российской Федерации» (далее - региональные гарантийные организации), соответствующими требованиям, установленным Правительством Российской Федерации, и включенными в перечень, предусмотренный частью 1.7 настоящей статьи (при осуществлении закупок в соответствии с пунктом 1 части 1 статьи 30 настоящего Федерального закона);</w:t>
      </w:r>
    </w:p>
    <w:p>
      <w:pPr>
        <w:pStyle w:val="Style2"/>
        <w:keepNext w:val="0"/>
        <w:keepLines w:val="0"/>
        <w:widowControl w:val="0"/>
        <w:numPr>
          <w:ilvl w:val="0"/>
          <w:numId w:val="1"/>
        </w:numPr>
        <w:shd w:val="clear" w:color="auto" w:fill="auto"/>
        <w:tabs>
          <w:tab w:pos="104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Частью 8.2 статьи 45 Закона о контрактной системе установлено, что дополнительные требования к независимой гарантии, используемой для целей настоящего Федерального закона, порядок ведения и размещения в единой </w:t>
      </w:r>
      <w:r>
        <w:rPr>
          <w:color w:val="000000"/>
          <w:spacing w:val="0"/>
          <w:w w:val="100"/>
          <w:position w:val="0"/>
          <w:shd w:val="clear" w:color="auto" w:fill="auto"/>
          <w:lang w:val="ru-RU" w:eastAsia="ru-RU" w:bidi="ru-RU"/>
        </w:rPr>
        <w:t>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гарантии устанавливаются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утверждены дополнительные требованиями к независимой гарантии, используемой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Правительства РФ от 08.11.2013 № 1005).</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первому абзацу Постановления Правительства РФ от 08.11.2013 № 1005 независимая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гаранта, и должна быть составлена по утвержденной Постановлением Правительства РФ от 08.11.2013 № 1005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(в случае составления независимой гарантии, предоставляемой в качестве обеспечения заявки на участие в закупке).</w:t>
      </w:r>
    </w:p>
    <w:p>
      <w:pPr>
        <w:pStyle w:val="Style2"/>
        <w:keepNext w:val="0"/>
        <w:keepLines w:val="0"/>
        <w:widowControl w:val="0"/>
        <w:shd w:val="clear" w:color="auto" w:fill="auto"/>
        <w:tabs>
          <w:tab w:leader="underscore" w:pos="1318" w:val="left"/>
          <w:tab w:pos="140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соответствии с типовой формой, утвержденной Постановлением Правительства РФ от 08.11.2013 № 1005, пункт 14 независимой гарантии должен быть изложен в следующей редакции: «Споры, возникающие в связи с исполнением обязательств по настоящей независимой гарантии, подлежат рассмотрению в арбитражном суде </w:t>
        <w:tab/>
        <w:tab/>
        <w:t>&lt;8&gt;. В соответствии с пояснительной сноской &lt;8&gt; в пункте 14 независимой гарантии указывается наименование арбитражного суда.</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Комиссией установлено, что в соответствии с частью 1 статьи 44 Закона о контрактной системе в извещении о проведении Аукциона установлено требование обеспечения заявок на участие в Аукционе в размере 0,5 % от начальной (максимальной) цены контракта - 45 706,27 рублей.</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34 основной части извещения о проведении Аукциона определено, что 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Закона о контрактной системе. Выбор способа обеспечения осуществления участником закупки самостоятельно.</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Согласно подпункту 15 пункта 35 извещения о проведения Аукциона независимая гарантия должна соответствовать типовой форме и дополнительным требованиям, установленным Постановлением Правительства РФ от 08.11.2013 № 1005, а также </w:t>
      </w:r>
      <w:r>
        <w:rPr>
          <w:i/>
          <w:iCs/>
          <w:color w:val="000000"/>
          <w:spacing w:val="0"/>
          <w:w w:val="100"/>
          <w:position w:val="0"/>
          <w:shd w:val="clear" w:color="auto" w:fill="auto"/>
          <w:lang w:val="ru-RU" w:eastAsia="ru-RU" w:bidi="ru-RU"/>
        </w:rPr>
        <w:t>«Независимая гарантия оформляется в письменной форме на бумажном носителе или в форме электронного документа, подписанного электронной подписью, вид которой предусмотрен Законом № 44-ФЗ, лица, имеющего право действовать от имени гаранта, на условиях, определенных гражданским законодательством и статьей 45 Закона № 44-</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ФЗ, с учетом следующих требований:</w:t>
      </w:r>
    </w:p>
    <w:p>
      <w:pPr>
        <w:pStyle w:val="Style2"/>
        <w:keepNext w:val="0"/>
        <w:keepLines w:val="0"/>
        <w:widowControl w:val="0"/>
        <w:shd w:val="clear" w:color="auto" w:fill="auto"/>
        <w:bidi w:val="0"/>
        <w:spacing w:before="0" w:after="0" w:line="240" w:lineRule="auto"/>
        <w:ind w:left="0" w:right="0" w:firstLine="1200"/>
        <w:jc w:val="both"/>
      </w:pPr>
      <w:r>
        <w:rPr>
          <w:i/>
          <w:iCs/>
          <w:color w:val="000000"/>
          <w:spacing w:val="0"/>
          <w:w w:val="100"/>
          <w:position w:val="0"/>
          <w:shd w:val="clear" w:color="auto" w:fill="auto"/>
          <w:lang w:val="ru-RU" w:eastAsia="ru-RU" w:bidi="ru-RU"/>
        </w:rPr>
        <w:t>а) обязательное закрепление в независимой гарантии, в том числе условия о рассмотрении споров, возникающих в связи с исполнением обязательств по независимой гарантии, в арбитражном суде».</w:t>
      </w:r>
    </w:p>
    <w:p>
      <w:pPr>
        <w:pStyle w:val="Style2"/>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В силу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
        <w:keepNext w:val="0"/>
        <w:keepLines w:val="0"/>
        <w:widowControl w:val="0"/>
        <w:numPr>
          <w:ilvl w:val="0"/>
          <w:numId w:val="3"/>
        </w:numPr>
        <w:shd w:val="clear" w:color="auto" w:fill="auto"/>
        <w:tabs>
          <w:tab w:pos="989" w:val="left"/>
        </w:tabs>
        <w:bidi w:val="0"/>
        <w:spacing w:before="0" w:after="0" w:line="240" w:lineRule="auto"/>
        <w:ind w:left="0" w:right="0" w:firstLine="620"/>
        <w:jc w:val="both"/>
      </w:pPr>
      <w:r>
        <w:rPr>
          <w:color w:val="000000"/>
          <w:spacing w:val="0"/>
          <w:w w:val="100"/>
          <w:position w:val="0"/>
          <w:shd w:val="clear" w:color="auto" w:fill="auto"/>
          <w:lang w:val="ru-RU" w:eastAsia="ru-RU" w:bidi="ru-RU"/>
        </w:rPr>
        <w:t>члены комиссии по осуществлению закупок:</w:t>
      </w:r>
    </w:p>
    <w:p>
      <w:pPr>
        <w:pStyle w:val="Style2"/>
        <w:keepNext w:val="0"/>
        <w:keepLines w:val="0"/>
        <w:widowControl w:val="0"/>
        <w:numPr>
          <w:ilvl w:val="0"/>
          <w:numId w:val="5"/>
        </w:numPr>
        <w:shd w:val="clear" w:color="auto" w:fill="auto"/>
        <w:tabs>
          <w:tab w:pos="989" w:val="left"/>
        </w:tabs>
        <w:bidi w:val="0"/>
        <w:spacing w:before="0" w:after="0" w:line="240" w:lineRule="auto"/>
        <w:ind w:left="0" w:right="0" w:firstLine="6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2"/>
        <w:keepNext w:val="0"/>
        <w:keepLines w:val="0"/>
        <w:widowControl w:val="0"/>
        <w:numPr>
          <w:ilvl w:val="0"/>
          <w:numId w:val="5"/>
        </w:numPr>
        <w:shd w:val="clear" w:color="auto" w:fill="auto"/>
        <w:tabs>
          <w:tab w:pos="989"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2"/>
        <w:keepNext w:val="0"/>
        <w:keepLines w:val="0"/>
        <w:widowControl w:val="0"/>
        <w:numPr>
          <w:ilvl w:val="0"/>
          <w:numId w:val="3"/>
        </w:numPr>
        <w:shd w:val="clear" w:color="auto" w:fill="auto"/>
        <w:tabs>
          <w:tab w:pos="989"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2"/>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Как установлено пунктом 7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частью 6 статьи 45 настоящего Федерального закона.</w:t>
      </w:r>
    </w:p>
    <w:p>
      <w:pPr>
        <w:pStyle w:val="Style2"/>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В силу пункта 2 части 6 статьи 45 Закона о контрактной системе основанием для отказа в принятии независимой гарантии заказчиком является несоответствие независимой гарантии требованиям, предусмотренным частями 2, 3 и 8.2 статьи 45 Закона о контрактной системе.</w:t>
      </w:r>
    </w:p>
    <w:p>
      <w:pPr>
        <w:pStyle w:val="Style2"/>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w:t>
      </w:r>
      <w:r>
        <w:rPr>
          <w:color w:val="000000"/>
          <w:spacing w:val="0"/>
          <w:w w:val="100"/>
          <w:position w:val="0"/>
          <w:shd w:val="clear" w:color="auto" w:fill="auto"/>
          <w:lang w:val="ru-RU" w:eastAsia="ru-RU" w:bidi="ru-RU"/>
        </w:rPr>
        <w:t xml:space="preserve">исполнителя) от 25.04.2023 № ИЭА1 комиссия Уполномоченного учреждения, рассмотрев заявки на участие в Аукционе, приняла решение о признании заявки с идентификационным номером 41 (Заявитель, ООО Проект «Экспозиция») несоответствующей требованиям извещения о проведении Аукциона со следующим обоснованием: </w:t>
      </w:r>
      <w:r>
        <w:rPr>
          <w:i/>
          <w:iCs/>
          <w:color w:val="000000"/>
          <w:spacing w:val="0"/>
          <w:w w:val="100"/>
          <w:position w:val="0"/>
          <w:shd w:val="clear" w:color="auto" w:fill="auto"/>
          <w:lang w:val="ru-RU" w:eastAsia="ru-RU" w:bidi="ru-RU"/>
        </w:rPr>
        <w:t>«Часть 5 статьи 49, пункт 7 части 12 статьи 48, пункты 2 и 3 части 6 статьи 45 Закона № 44- ФЗ, пункты 34, 35 документа «Основная часть извещения о проведении электронного аукциона» извещения о проведении электронного аукциона (далее - извещение): заявка подлежит отклонению в случаях, предусмотренных частью 6 статьи 45 Закона № 44-ФЗ, согласно которой основанием для отказа в принятии независимой гарантии является:</w:t>
      </w:r>
    </w:p>
    <w:p>
      <w:pPr>
        <w:pStyle w:val="Style2"/>
        <w:keepNext w:val="0"/>
        <w:keepLines w:val="0"/>
        <w:widowControl w:val="0"/>
        <w:numPr>
          <w:ilvl w:val="0"/>
          <w:numId w:val="7"/>
        </w:numPr>
        <w:shd w:val="clear" w:color="auto" w:fill="auto"/>
        <w:tabs>
          <w:tab w:pos="1116" w:val="left"/>
          <w:tab w:pos="1166" w:val="left"/>
          <w:tab w:pos="3355" w:val="left"/>
          <w:tab w:pos="5141" w:val="left"/>
          <w:tab w:pos="6571" w:val="left"/>
          <w:tab w:pos="8506"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несоответствие</w:t>
        <w:tab/>
        <w:t>независимой</w:t>
        <w:tab/>
        <w:t>гарантии</w:t>
        <w:tab/>
        <w:t>требованиям,</w:t>
        <w:tab/>
        <w:t>предусмотренным</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частью 8.2 статьи 45 Закона № 44-ФЗ;</w:t>
      </w:r>
    </w:p>
    <w:p>
      <w:pPr>
        <w:pStyle w:val="Style2"/>
        <w:keepNext w:val="0"/>
        <w:keepLines w:val="0"/>
        <w:widowControl w:val="0"/>
        <w:numPr>
          <w:ilvl w:val="0"/>
          <w:numId w:val="7"/>
        </w:numPr>
        <w:shd w:val="clear" w:color="auto" w:fill="auto"/>
        <w:tabs>
          <w:tab w:pos="1116" w:val="left"/>
          <w:tab w:pos="1166" w:val="left"/>
          <w:tab w:pos="3355" w:val="left"/>
          <w:tab w:pos="5141" w:val="left"/>
          <w:tab w:pos="6571" w:val="left"/>
          <w:tab w:pos="8506" w:val="left"/>
        </w:tabs>
        <w:bidi w:val="0"/>
        <w:spacing w:before="0" w:after="0" w:line="240" w:lineRule="auto"/>
        <w:ind w:left="0" w:right="0" w:firstLine="600"/>
        <w:jc w:val="both"/>
      </w:pPr>
      <w:r>
        <w:rPr>
          <w:i/>
          <w:iCs/>
          <w:color w:val="000000"/>
          <w:spacing w:val="0"/>
          <w:w w:val="100"/>
          <w:position w:val="0"/>
          <w:shd w:val="clear" w:color="auto" w:fill="auto"/>
          <w:lang w:val="ru-RU" w:eastAsia="ru-RU" w:bidi="ru-RU"/>
        </w:rPr>
        <w:t>несоответствие</w:t>
        <w:tab/>
        <w:t>независимой</w:t>
        <w:tab/>
        <w:t>гарантии</w:t>
        <w:tab/>
        <w:t>требованиям,</w:t>
        <w:tab/>
        <w:t>содержащимся в</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извещении об осуществлении закупки.</w:t>
      </w:r>
    </w:p>
    <w:p>
      <w:pPr>
        <w:pStyle w:val="Style2"/>
        <w:keepNext w:val="0"/>
        <w:keepLines w:val="0"/>
        <w:widowControl w:val="0"/>
        <w:shd w:val="clear" w:color="auto" w:fill="auto"/>
        <w:tabs>
          <w:tab w:leader="underscore" w:pos="6907" w:val="left"/>
        </w:tabs>
        <w:bidi w:val="0"/>
        <w:spacing w:before="0" w:after="0" w:line="240" w:lineRule="auto"/>
        <w:ind w:left="0" w:right="0" w:firstLine="620"/>
        <w:jc w:val="both"/>
      </w:pPr>
      <w:r>
        <w:rPr>
          <w:i/>
          <w:iCs/>
          <w:color w:val="000000"/>
          <w:spacing w:val="0"/>
          <w:w w:val="100"/>
          <w:position w:val="0"/>
          <w:shd w:val="clear" w:color="auto" w:fill="auto"/>
          <w:lang w:val="ru-RU" w:eastAsia="ru-RU" w:bidi="ru-RU"/>
        </w:rPr>
        <w:t>Подпунктом 15 пункта 35 извещения определено условие независимой гарантии: независимая гарантия должна соответствовать типовой форме и дополнительным требованиям, установленным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ПП РФ №1005). В реестре Единой информационной системы (далее - реестр ЕИС) размещена независимая гарантия от 20 апреля 2023 № 37762-21КЭБГ/0003 участника закупки, которая не соответствует дополнительным требованиям к независимой гарантии, используемой для целей Закона №44-ФЗ, утвержденным ПП РФ № 1005 (а именно отсутствует условие, установленное восьмым абзацем пункта «а»), и подподпункту «а» подпункта 15 пункта 35 извещения. Независимая гарантия от 20 апреля 2023 № 37762-21КЭБГ/0003 не соответствует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утв. ПГ1 РФ № 1005 (далее также - Типовая форма), а именно: отсутствует пункт 14 Типовой формы: «Споры, возникающие в связи с исполнением обязательств по настоящей независимой гарантии, подлежат рассмотрению в арбитражном суде</w:t>
        <w:tab/>
        <w:t>. Таким образом, независимая</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гарантия от 20 апреля 2023 № 37762-21КЭБГ/0003 участника закупки, размещенная в реестре ЕИС, не соответствует требованиям, предусмотренным частью 8.2 статьи 45 Закона № 44-ФЗ и требованиям, содержащимся в извещении об осуществлении закупки».</w:t>
      </w:r>
    </w:p>
    <w:p>
      <w:pPr>
        <w:pStyle w:val="Style2"/>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Комиссия, проанализировав заявку на участие в Аукционе с идентификационным номером 41, установила, что Заявителем в качестве обеспечения заявки на участие в Аукционе представлена независимая гарантия № 37762-21КЭБГ/0003 от 20.04.2023, выданная гарантом - КИВИ Банк (АО).</w:t>
      </w:r>
    </w:p>
    <w:p>
      <w:pPr>
        <w:pStyle w:val="Style2"/>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 xml:space="preserve">Пунктом 14 независимой гарантии № 37762-21КЭБГ/0003 от 20.04.2023 установлено следующее: </w:t>
      </w:r>
      <w:r>
        <w:rPr>
          <w:i/>
          <w:iCs/>
          <w:color w:val="000000"/>
          <w:spacing w:val="0"/>
          <w:w w:val="100"/>
          <w:position w:val="0"/>
          <w:shd w:val="clear" w:color="auto" w:fill="auto"/>
          <w:lang w:val="ru-RU" w:eastAsia="ru-RU" w:bidi="ru-RU"/>
        </w:rPr>
        <w:t>«Споры, возникающие в связи с исполнением обязательств по настоящей независимой гарантии, подлежат рассмотрению в Арбитражном суде в соответствии с действующим законодательством Российской Федерации»</w:t>
      </w:r>
      <w:r>
        <w:rPr>
          <w:color w:val="000000"/>
          <w:spacing w:val="0"/>
          <w:w w:val="100"/>
          <w:position w:val="0"/>
          <w:shd w:val="clear" w:color="auto" w:fill="auto"/>
          <w:lang w:val="ru-RU" w:eastAsia="ru-RU" w:bidi="ru-RU"/>
        </w:rPr>
        <w:t xml:space="preserve">, что не соответствует </w:t>
      </w:r>
      <w:r>
        <w:rPr>
          <w:color w:val="000000"/>
          <w:spacing w:val="0"/>
          <w:w w:val="100"/>
          <w:position w:val="0"/>
          <w:shd w:val="clear" w:color="auto" w:fill="auto"/>
          <w:lang w:val="ru-RU" w:eastAsia="ru-RU" w:bidi="ru-RU"/>
        </w:rPr>
        <w:t>дополнительным требованиям, предъявляемым к независимым гарантиям, утвержденным Постановлением Правительства РФ от 08.11.2013 № 1005, а именно абзацу 9 пункта «а» Постановления Правительства РФ от 08.11.2013 № 1005, согласно которому независимая гарантия должна содержать обязательное условие о рассмотрении споров, возникающих в связи с исполнением обязательств по независимой гарантии, в арбитражном суде, с указанием конкретного арбитражного суда, что предусмотрено типовой формой независимой гарантии на обеспечение заявки на участие в Аукционе.</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отмечает, что дополнительные требования, предъявляемые к независимым гарантиям в соответствии с Постановлением Правительства РФ от 08.11.2013 № 1005 однозначно устанавливают типовую форму независимой гарантии и обязательные условия, которые должна содержать такая независимая гарантия и не подразумевает иное изложение условий.</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независимая гарантия № 37762-21КЭБГ/0003 от 20.04.2023, представленная Заявителем в качестве обеспечения заявки на участие в Аукционе, не соответствует требованиям части 8.2 статьи 45 Закона о контрактной системе, подподпункта «а» подпункта 15 пункта 35 извещения о проведении Аукциона.</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вышеизложенного, Комиссия приходит к выводу, что действия комиссии Уполномоченного учреждения в части признания заявки ООО Проект «Экспозиция» несоответствующей требованиям извещения о проведении Аукциона являются правомерными, следовательно, довод жалобы Заявителя не нашел своего подтверждения.</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учитывая, что независимая гарантия № 37762-21КЭБГ/0003 от 20.04.2023 выдана Заявителю гарантом - КИВИ Банк (АО), делает вывод о том, что действия КИВИ Банк (АО), выразившиеся в выдаче независимой гарантии № 37762-21КЭБГ/0003 от 20.04.2023, не соответствующей типовой форме независимой гарантии, утвержденной Постановлением Правительства РФ от 08.11.2013 № 1005, в части не указания конкретного наименования Арбитражного суда, нарушают требования части 8.2 статьи 45 Закона о контрактной системе.</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отмечает, что Заказчиком в соответствии требованиями пункта 6 части 9 статьи 45 Закона о контрактной системе и подпункта «г» пункта 4 Правил ведения и размещения в единой информационной системе в сфере закупок реестра независимых гарантий, утвержденных Постановлением Правительства РФ от 08.11.2013 № 1005, в ЕИС размещены сведения об отказе в принятии независимой гарантии на основании информации, содержащейся в протоколе подведения итогов определения поставщика (подрядчика, исполнителя) от 25.04.2023 № ИЭА1.</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2"/>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В связи с изложенным, руководствуясь частями 1, 4, 7 статьи 105, частью 8 статьи 106 Закона о контрактной системе, Комиссия</w:t>
      </w:r>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РЕШИЛА:</w:t>
      </w:r>
      <w:r>
        <w:br w:type="page"/>
      </w:r>
    </w:p>
    <w:p>
      <w:pPr>
        <w:pStyle w:val="Style2"/>
        <w:keepNext w:val="0"/>
        <w:keepLines w:val="0"/>
        <w:widowControl w:val="0"/>
        <w:numPr>
          <w:ilvl w:val="0"/>
          <w:numId w:val="9"/>
        </w:numPr>
        <w:shd w:val="clear" w:color="auto" w:fill="auto"/>
        <w:tabs>
          <w:tab w:pos="113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жалобу ООО Проект «Экспозиция» необоснованной.</w:t>
      </w:r>
    </w:p>
    <w:p>
      <w:pPr>
        <w:pStyle w:val="Style2"/>
        <w:keepNext w:val="0"/>
        <w:keepLines w:val="0"/>
        <w:widowControl w:val="0"/>
        <w:numPr>
          <w:ilvl w:val="0"/>
          <w:numId w:val="9"/>
        </w:numPr>
        <w:shd w:val="clear" w:color="auto" w:fill="auto"/>
        <w:tabs>
          <w:tab w:pos="113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в действиях КИВИ Банк (АО) нарушение части 8.2 статьи 45 Закона о контрактной системе.</w:t>
      </w:r>
    </w:p>
    <w:p>
      <w:pPr>
        <w:pStyle w:val="Style2"/>
        <w:keepNext w:val="0"/>
        <w:keepLines w:val="0"/>
        <w:widowControl w:val="0"/>
        <w:numPr>
          <w:ilvl w:val="0"/>
          <w:numId w:val="9"/>
        </w:numPr>
        <w:shd w:val="clear" w:color="auto" w:fill="auto"/>
        <w:tabs>
          <w:tab w:pos="113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Выдать заказчику - государственному бюджетному учреждению культуры «Калининградский областной музей изобразительных искусств», комиссии уполномоченного учреждения - государственного казенного учреждения Калининградской области «Центр обеспечения организации и проведения торгов», оператору электронной площадки - ЭТП Газпромбанк, КИВИ Банк (АО) предписание об устранении выявленного нарушения Закона о контрактной системе.</w:t>
      </w:r>
    </w:p>
    <w:p>
      <w:pPr>
        <w:widowControl w:val="0"/>
        <w:spacing w:line="1" w:lineRule="exact"/>
        <w:sectPr>
          <w:footerReference w:type="default" r:id="rId5"/>
          <w:footerReference w:type="first" r:id="rId6"/>
          <w:footnotePr>
            <w:pos w:val="pageBottom"/>
            <w:numFmt w:val="decimal"/>
            <w:numRestart w:val="continuous"/>
          </w:footnotePr>
          <w:pgSz w:w="11900" w:h="16840"/>
          <w:pgMar w:top="63" w:right="392" w:bottom="1217" w:left="661" w:header="0" w:footer="3" w:gutter="0"/>
          <w:pgNumType w:start="1"/>
          <w:cols w:space="720"/>
          <w:noEndnote/>
          <w:titlePg/>
          <w:rtlGutter w:val="0"/>
          <w:docGrid w:linePitch="360"/>
        </w:sectPr>
      </w:pPr>
      <w:r>
        <mc:AlternateContent>
          <mc:Choice Requires="wps">
            <w:drawing>
              <wp:anchor distT="266700" distB="356235" distL="0" distR="0" simplePos="0" relativeHeight="125829382" behindDoc="0" locked="0" layoutInCell="1" allowOverlap="1">
                <wp:simplePos x="0" y="0"/>
                <wp:positionH relativeFrom="page">
                  <wp:posOffset>733425</wp:posOffset>
                </wp:positionH>
                <wp:positionV relativeFrom="paragraph">
                  <wp:posOffset>266700</wp:posOffset>
                </wp:positionV>
                <wp:extent cx="1828800" cy="250190"/>
                <wp:wrapTopAndBottom/>
                <wp:docPr id="9" name="Shape 9"/>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75pt;margin-top:21.pt;width:144.pt;height:19.699999999999999pt;z-index:-125829371;mso-wrap-distance-left:0;mso-wrap-distance-top:21.pt;mso-wrap-distance-right:0;mso-wrap-distance-bottom:28.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36550" distB="0" distL="0" distR="1789430" simplePos="0" relativeHeight="125829384" behindDoc="0" locked="0" layoutInCell="1" allowOverlap="1">
            <wp:simplePos x="0" y="0"/>
            <wp:positionH relativeFrom="page">
              <wp:posOffset>2653665</wp:posOffset>
            </wp:positionH>
            <wp:positionV relativeFrom="paragraph">
              <wp:posOffset>336550</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739140</wp:posOffset>
                </wp:positionV>
                <wp:extent cx="1283335" cy="103505"/>
                <wp:wrapNone/>
                <wp:docPr id="13" name="Shape 1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7E7E7"/>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39" type="#_x0000_t202" style="position:absolute;margin-left:245.45000000000002pt;margin-top:58.200000000000003pt;width:101.05pt;height:8.1500000000000004pt;z-index:251657729;mso-wrap-distance-left:0;mso-wrap-distance-right:0;mso-position-horizontal-relative:page" filled="f" stroked="f">
                <v:textbox inset="0,0,0,0">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7E7E7"/>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3071495</wp:posOffset>
                </wp:positionH>
                <wp:positionV relativeFrom="paragraph">
                  <wp:posOffset>427990</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1.84999999999999pt;margin-top:33.700000000000003pt;width:135.84999999999999pt;height:20.150000000000002pt;z-index:251657731;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66700" distB="356235" distL="0" distR="0" simplePos="0" relativeHeight="125829385" behindDoc="0" locked="0" layoutInCell="1" allowOverlap="1">
                <wp:simplePos x="0" y="0"/>
                <wp:positionH relativeFrom="page">
                  <wp:posOffset>6140450</wp:posOffset>
                </wp:positionH>
                <wp:positionV relativeFrom="paragraph">
                  <wp:posOffset>266700</wp:posOffset>
                </wp:positionV>
                <wp:extent cx="1048385" cy="250190"/>
                <wp:wrapTopAndBottom/>
                <wp:docPr id="17" name="Shape 17"/>
                <a:graphic xmlns:a="http://schemas.openxmlformats.org/drawingml/2006/main">
                  <a:graphicData uri="http://schemas.microsoft.com/office/word/2010/wordprocessingShape">
                    <wps:wsp>
                      <wps:cNvSpPr txBox="1"/>
                      <wps:spPr>
                        <a:xfrm>
                          <a:ext cx="104838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Н.С. Иванова</w:t>
                            </w:r>
                          </w:p>
                        </w:txbxContent>
                      </wps:txbx>
                      <wps:bodyPr wrap="none" lIns="0" tIns="0" rIns="0" bIns="0">
                        <a:noAutoFit/>
                      </wps:bodyPr>
                    </wps:wsp>
                  </a:graphicData>
                </a:graphic>
              </wp:anchor>
            </w:drawing>
          </mc:Choice>
          <mc:Fallback>
            <w:pict>
              <v:shape id="_x0000_s1043" type="#_x0000_t202" style="position:absolute;margin-left:483.5pt;margin-top:21.pt;width:82.549999999999997pt;height:19.699999999999999pt;z-index:-125829368;mso-wrap-distance-left:0;mso-wrap-distance-top:21.pt;mso-wrap-distance-right:0;mso-wrap-distance-bottom:28.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Н.С. Иванова</w:t>
                      </w:r>
                    </w:p>
                  </w:txbxContent>
                </v:textbox>
                <w10:wrap type="topAndBottom" anchorx="page"/>
              </v:shape>
            </w:pict>
          </mc:Fallback>
        </mc:AlternateContent>
      </w:r>
    </w:p>
    <w:p>
      <w:pPr>
        <w:pStyle w:val="Style33"/>
        <w:keepNext w:val="0"/>
        <w:keepLines w:val="0"/>
        <w:widowControl w:val="0"/>
        <w:shd w:val="clear" w:color="auto" w:fill="auto"/>
        <w:bidi w:val="0"/>
        <w:spacing w:before="0" w:after="0" w:line="240" w:lineRule="auto"/>
        <w:ind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Иванова Наталия Сергеевна</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О0С7362Е057ЕАЕЕ23ОВЕ03Е0ВЕ7121ЕВ2</w:t>
      </w:r>
      <w:r>
        <w:rPr>
          <w:spacing w:val="0"/>
          <w:w w:val="100"/>
          <w:position w:val="0"/>
          <w:shd w:val="clear" w:color="auto" w:fill="auto"/>
          <w:lang w:val="ru-RU" w:eastAsia="ru-RU" w:bidi="ru-RU"/>
        </w:rPr>
        <w:t>4</w:t>
      </w:r>
    </w:p>
    <w:p>
      <w:pPr>
        <w:pStyle w:val="Style33"/>
        <w:keepNext w:val="0"/>
        <w:keepLines w:val="0"/>
        <w:widowControl w:val="0"/>
        <w:shd w:val="clear" w:color="auto" w:fill="auto"/>
        <w:bidi w:val="0"/>
        <w:spacing w:before="0" w:after="28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17.05.2022 по </w:t>
      </w:r>
      <w:r>
        <w:rPr>
          <w:color w:val="6C6C6C"/>
          <w:spacing w:val="0"/>
          <w:w w:val="100"/>
          <w:position w:val="0"/>
          <w:shd w:val="clear" w:color="auto" w:fill="auto"/>
          <w:lang w:val="ru-RU" w:eastAsia="ru-RU" w:bidi="ru-RU"/>
        </w:rPr>
        <w:t>10.08.2023</w:t>
      </w:r>
    </w:p>
    <w:p>
      <w:pPr>
        <w:pStyle w:val="Style2"/>
        <w:keepNext w:val="0"/>
        <w:keepLines w:val="0"/>
        <w:widowControl w:val="0"/>
        <w:shd w:val="clear" w:color="auto" w:fill="auto"/>
        <w:bidi w:val="0"/>
        <w:spacing w:before="0" w:after="60" w:line="240" w:lineRule="auto"/>
        <w:ind w:left="0" w:right="0" w:firstLine="50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620" w:line="240" w:lineRule="auto"/>
        <w:ind w:left="0" w:right="160" w:firstLine="0"/>
        <w:jc w:val="right"/>
      </w:pPr>
      <w:r>
        <w:drawing>
          <wp:anchor distT="0" distB="0" distL="114300" distR="1903730" simplePos="0" relativeHeight="125829387" behindDoc="0" locked="0" layoutInCell="1" allowOverlap="1">
            <wp:simplePos x="0" y="0"/>
            <wp:positionH relativeFrom="page">
              <wp:posOffset>2653665</wp:posOffset>
            </wp:positionH>
            <wp:positionV relativeFrom="paragraph">
              <wp:posOffset>50800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3117215</wp:posOffset>
                </wp:positionH>
                <wp:positionV relativeFrom="paragraph">
                  <wp:posOffset>455930</wp:posOffset>
                </wp:positionV>
                <wp:extent cx="1276985" cy="100330"/>
                <wp:wrapNone/>
                <wp:docPr id="21" name="Shape 2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7E7E7"/>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47" type="#_x0000_t202" style="position:absolute;margin-left:245.45000000000002pt;margin-top:35.899999999999999pt;width:100.55pt;height:7.9000000000000004pt;z-index:251657733;mso-wrap-distance-left:0;mso-wrap-distance-right:0;mso-position-horizontal-relative:page" filled="f" stroked="f">
                <v:textbox inset="0,0,0,0">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7E7E7"/>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3071495</wp:posOffset>
                </wp:positionH>
                <wp:positionV relativeFrom="paragraph">
                  <wp:posOffset>142240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84999999999999pt;margin-top:11.200000000000001pt;width:135.84999999999999pt;height:20.150000000000002pt;z-index:251657735;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Ю.А. Зацепина</w:t>
      </w:r>
    </w:p>
    <w:p>
      <w:pPr>
        <w:pStyle w:val="Style33"/>
        <w:keepNext w:val="0"/>
        <w:keepLines w:val="0"/>
        <w:widowControl w:val="0"/>
        <w:shd w:val="clear" w:color="auto" w:fill="auto"/>
        <w:bidi w:val="0"/>
        <w:spacing w:before="0" w:after="0" w:line="240" w:lineRule="auto"/>
        <w:ind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Зацепина Юлия Александровна</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00Е2768О3765АВ912027Е2Е58АВАЕЕ365С</w:t>
      </w:r>
    </w:p>
    <w:p>
      <w:pPr>
        <w:pStyle w:val="Style33"/>
        <w:keepNext w:val="0"/>
        <w:keepLines w:val="0"/>
        <w:widowControl w:val="0"/>
        <w:shd w:val="clear" w:color="auto" w:fill="auto"/>
        <w:bidi w:val="0"/>
        <w:spacing w:before="0" w:after="28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10.01.2023 </w:t>
      </w:r>
      <w:r>
        <w:rPr>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04.04.2024</w:t>
      </w:r>
    </w:p>
    <w:p>
      <w:pPr>
        <w:pStyle w:val="Style2"/>
        <w:keepNext w:val="0"/>
        <w:keepLines w:val="0"/>
        <w:widowControl w:val="0"/>
        <w:shd w:val="clear" w:color="auto" w:fill="auto"/>
        <w:bidi w:val="0"/>
        <w:spacing w:before="0" w:after="620" w:line="240" w:lineRule="auto"/>
        <w:ind w:left="0" w:right="160" w:firstLine="0"/>
        <w:jc w:val="right"/>
      </w:pPr>
      <w:r>
        <w:drawing>
          <wp:anchor distT="0" distB="0" distL="114300" distR="1903730" simplePos="0" relativeHeight="125829388" behindDoc="0" locked="0" layoutInCell="1" allowOverlap="1">
            <wp:simplePos x="0" y="0"/>
            <wp:positionH relativeFrom="page">
              <wp:posOffset>2653665</wp:posOffset>
            </wp:positionH>
            <wp:positionV relativeFrom="paragraph">
              <wp:posOffset>63500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3117215</wp:posOffset>
                </wp:positionH>
                <wp:positionV relativeFrom="paragraph">
                  <wp:posOffset>466090</wp:posOffset>
                </wp:positionV>
                <wp:extent cx="1276985" cy="103505"/>
                <wp:wrapNone/>
                <wp:docPr id="27" name="Shape 27"/>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45000000000002pt;margin-top:36.700000000000003pt;width:100.55pt;height:8.1500000000000004pt;z-index:251657737;mso-wrap-distance-left:0;mso-wrap-distance-right:0;mso-position-horizontal-relative:page" filled="f" stroked="f">
                <v:textbox inset="0,0,0,0">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3071495</wp:posOffset>
                </wp:positionH>
                <wp:positionV relativeFrom="paragraph">
                  <wp:posOffset>154940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B3B3B"/>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1.84999999999999pt;margin-top:12.200000000000001pt;width:135.84999999999999pt;height:20.150000000000002pt;z-index:251657739;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B3B3B"/>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В.И. Прудникова</w:t>
      </w:r>
    </w:p>
    <w:p>
      <w:pPr>
        <w:pStyle w:val="Style33"/>
        <w:keepNext w:val="0"/>
        <w:keepLines w:val="0"/>
        <w:widowControl w:val="0"/>
        <w:shd w:val="clear" w:color="auto" w:fill="auto"/>
        <w:bidi w:val="0"/>
        <w:spacing w:before="0" w:after="0" w:line="240" w:lineRule="auto"/>
        <w:ind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Прудникова Виктория Игоревна</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4В24А5В239000В9С5ВЕ67А951080Е996</w:t>
      </w:r>
    </w:p>
    <w:p>
      <w:pPr>
        <w:pStyle w:val="Style33"/>
        <w:keepNext w:val="0"/>
        <w:keepLines w:val="0"/>
        <w:widowControl w:val="0"/>
        <w:shd w:val="clear" w:color="auto" w:fill="auto"/>
        <w:bidi w:val="0"/>
        <w:spacing w:before="0" w:after="50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42424"/>
          <w:spacing w:val="0"/>
          <w:w w:val="100"/>
          <w:position w:val="0"/>
          <w:shd w:val="clear" w:color="auto" w:fill="auto"/>
          <w:lang w:val="ru-RU" w:eastAsia="ru-RU" w:bidi="ru-RU"/>
        </w:rPr>
        <w:t xml:space="preserve">17.08.2022 </w:t>
      </w:r>
      <w:r>
        <w:rPr>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10.11.2023</w:t>
      </w:r>
    </w:p>
    <w:p>
      <w:pPr>
        <w:pStyle w:val="Style16"/>
        <w:keepNext w:val="0"/>
        <w:keepLines w:val="0"/>
        <w:widowControl w:val="0"/>
        <w:shd w:val="clear" w:color="auto" w:fill="auto"/>
        <w:bidi w:val="0"/>
        <w:spacing w:before="0" w:after="40" w:line="240" w:lineRule="auto"/>
        <w:ind w:left="0" w:right="0" w:firstLine="560"/>
        <w:jc w:val="left"/>
      </w:pPr>
      <w:r>
        <w:rPr>
          <w:color w:val="000000"/>
          <w:spacing w:val="0"/>
          <w:w w:val="100"/>
          <w:position w:val="0"/>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footnotePr>
        <w:pos w:val="pageBottom"/>
        <w:numFmt w:val="decimal"/>
        <w:numRestart w:val="continuous"/>
      </w:footnotePr>
      <w:type w:val="continuous"/>
      <w:pgSz w:w="11900" w:h="16840"/>
      <w:pgMar w:top="1426" w:right="402" w:bottom="1426" w:left="67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10016490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2023-2199</w:t>
                          </w:r>
                        </w:p>
                      </w:txbxContent>
                    </wps:txbx>
                    <wps:bodyPr wrap="none" lIns="0" tIns="0" rIns="0" bIns="0">
                      <a:spAutoFit/>
                    </wps:bodyPr>
                  </wps:wsp>
                </a:graphicData>
              </a:graphic>
            </wp:anchor>
          </w:drawing>
        </mc:Choice>
        <mc:Fallback>
          <w:pict>
            <v:shape id="_x0000_s1031" type="#_x0000_t202" style="position:absolute;margin-left:56.800000000000004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719455</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2023-2199</w:t>
                          </w:r>
                        </w:p>
                      </w:txbxContent>
                    </wps:txbx>
                    <wps:bodyPr wrap="none" lIns="0" tIns="0" rIns="0" bIns="0">
                      <a:spAutoFit/>
                    </wps:bodyPr>
                  </wps:wsp>
                </a:graphicData>
              </a:graphic>
            </wp:anchor>
          </w:drawing>
        </mc:Choice>
        <mc:Fallback>
          <w:pict>
            <v:shape id="_x0000_s1033" type="#_x0000_t202" style="position:absolute;margin-left:56.649999999999999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Основной текст (4)_"/>
    <w:basedOn w:val="DefaultParagraphFont"/>
    <w:link w:val="Style4"/>
    <w:rPr>
      <w:rFonts w:ascii="Times New Roman" w:eastAsia="Times New Roman" w:hAnsi="Times New Roman" w:cs="Times New Roman"/>
      <w:b w:val="0"/>
      <w:bCs w:val="0"/>
      <w:i w:val="0"/>
      <w:iCs w:val="0"/>
      <w:smallCaps w:val="0"/>
      <w:strike w:val="0"/>
      <w:sz w:val="22"/>
      <w:szCs w:val="22"/>
      <w:u w:val="none"/>
    </w:rPr>
  </w:style>
  <w:style w:type="character" w:customStyle="1" w:styleId="CharStyle7">
    <w:name w:val="Подпись к картинке_"/>
    <w:basedOn w:val="DefaultParagraphFont"/>
    <w:link w:val="Style6"/>
    <w:rPr>
      <w:rFonts w:ascii="Georgia" w:eastAsia="Georgia" w:hAnsi="Georgia" w:cs="Georgia"/>
      <w:b w:val="0"/>
      <w:bCs w:val="0"/>
      <w:i w:val="0"/>
      <w:iCs w:val="0"/>
      <w:smallCaps w:val="0"/>
      <w:strike w:val="0"/>
      <w:color w:val="242424"/>
      <w:sz w:val="11"/>
      <w:szCs w:val="11"/>
      <w:u w:val="none"/>
    </w:rPr>
  </w:style>
  <w:style w:type="character" w:customStyle="1" w:styleId="CharStyle11">
    <w:name w:val="Другое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Основной текст (3)_"/>
    <w:basedOn w:val="DefaultParagraphFont"/>
    <w:link w:val="Style16"/>
    <w:rPr>
      <w:rFonts w:ascii="Times New Roman" w:eastAsia="Times New Roman" w:hAnsi="Times New Roman" w:cs="Times New Roman"/>
      <w:b w:val="0"/>
      <w:bCs w:val="0"/>
      <w:i w:val="0"/>
      <w:iCs w:val="0"/>
      <w:smallCaps w:val="0"/>
      <w:strike w:val="0"/>
      <w:sz w:val="18"/>
      <w:szCs w:val="18"/>
      <w:u w:val="none"/>
    </w:rPr>
  </w:style>
  <w:style w:type="character" w:customStyle="1" w:styleId="CharStyle29">
    <w:name w:val="Заголовок №1_"/>
    <w:basedOn w:val="DefaultParagraphFont"/>
    <w:link w:val="Style28"/>
    <w:rPr>
      <w:rFonts w:ascii="Times New Roman" w:eastAsia="Times New Roman" w:hAnsi="Times New Roman" w:cs="Times New Roman"/>
      <w:b w:val="0"/>
      <w:bCs w:val="0"/>
      <w:i w:val="0"/>
      <w:iCs w:val="0"/>
      <w:smallCaps w:val="0"/>
      <w:strike w:val="0"/>
      <w:sz w:val="28"/>
      <w:szCs w:val="28"/>
      <w:u w:val="none"/>
    </w:rPr>
  </w:style>
  <w:style w:type="character" w:customStyle="1" w:styleId="CharStyle34">
    <w:name w:val="Основной текст (2)_"/>
    <w:basedOn w:val="DefaultParagraphFont"/>
    <w:link w:val="Style33"/>
    <w:rPr>
      <w:rFonts w:ascii="Arial" w:eastAsia="Arial" w:hAnsi="Arial" w:cs="Arial"/>
      <w:b w:val="0"/>
      <w:bCs w:val="0"/>
      <w:i w:val="0"/>
      <w:iCs w:val="0"/>
      <w:smallCaps w:val="0"/>
      <w:strike w:val="0"/>
      <w:color w:val="3B3B3B"/>
      <w:sz w:val="12"/>
      <w:szCs w:val="12"/>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Основной текст (4)"/>
    <w:basedOn w:val="Normal"/>
    <w:link w:val="CharStyle5"/>
    <w:pPr>
      <w:widowControl w:val="0"/>
      <w:shd w:val="clear" w:color="auto" w:fill="auto"/>
      <w:spacing w:after="460"/>
      <w:ind w:left="270" w:firstLine="290"/>
    </w:pPr>
    <w:rPr>
      <w:rFonts w:ascii="Times New Roman" w:eastAsia="Times New Roman" w:hAnsi="Times New Roman" w:cs="Times New Roman"/>
      <w:b w:val="0"/>
      <w:bCs w:val="0"/>
      <w:i w:val="0"/>
      <w:iCs w:val="0"/>
      <w:smallCaps w:val="0"/>
      <w:strike w:val="0"/>
      <w:sz w:val="22"/>
      <w:szCs w:val="22"/>
      <w:u w:val="none"/>
    </w:rPr>
  </w:style>
  <w:style w:type="paragraph" w:customStyle="1" w:styleId="Style6">
    <w:name w:val="Подпись к картинке"/>
    <w:basedOn w:val="Normal"/>
    <w:link w:val="CharStyle7"/>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10">
    <w:name w:val="Другое"/>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Основной текст (3)"/>
    <w:basedOn w:val="Normal"/>
    <w:link w:val="CharStyle17"/>
    <w:pPr>
      <w:widowControl w:val="0"/>
      <w:shd w:val="clear" w:color="auto" w:fill="auto"/>
      <w:spacing w:after="100" w:line="274" w:lineRule="auto"/>
      <w:ind w:firstLine="480"/>
    </w:pPr>
    <w:rPr>
      <w:rFonts w:ascii="Times New Roman" w:eastAsia="Times New Roman" w:hAnsi="Times New Roman" w:cs="Times New Roman"/>
      <w:b w:val="0"/>
      <w:bCs w:val="0"/>
      <w:i w:val="0"/>
      <w:iCs w:val="0"/>
      <w:smallCaps w:val="0"/>
      <w:strike w:val="0"/>
      <w:sz w:val="18"/>
      <w:szCs w:val="18"/>
      <w:u w:val="none"/>
    </w:rPr>
  </w:style>
  <w:style w:type="paragraph" w:customStyle="1" w:styleId="Style28">
    <w:name w:val="Заголовок №1"/>
    <w:basedOn w:val="Normal"/>
    <w:link w:val="CharStyle29"/>
    <w:pPr>
      <w:widowControl w:val="0"/>
      <w:shd w:val="clear" w:color="auto" w:fill="auto"/>
      <w:spacing w:after="280"/>
      <w:ind w:firstLine="58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33">
    <w:name w:val="Основной текст (2)"/>
    <w:basedOn w:val="Normal"/>
    <w:link w:val="CharStyle34"/>
    <w:pPr>
      <w:widowControl w:val="0"/>
      <w:shd w:val="clear" w:color="auto" w:fill="auto"/>
      <w:ind w:left="3540"/>
    </w:pPr>
    <w:rPr>
      <w:rFonts w:ascii="Arial" w:eastAsia="Arial" w:hAnsi="Arial" w:cs="Arial"/>
      <w:b w:val="0"/>
      <w:bCs w:val="0"/>
      <w:i w:val="0"/>
      <w:iCs w:val="0"/>
      <w:smallCaps w:val="0"/>
      <w:strike w:val="0"/>
      <w:color w:val="3B3B3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