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1о77@Еа8.2ОУ.ги</w:t>
      </w:r>
    </w:p>
    <w:p>
      <w:pPr>
        <w:pStyle w:val="Style5"/>
        <w:keepNext w:val="0"/>
        <w:keepLines w:val="0"/>
        <w:widowControl w:val="0"/>
        <w:shd w:val="clear" w:color="auto" w:fill="auto"/>
        <w:tabs>
          <w:tab w:leader="underscore" w:pos="1762" w:val="left"/>
          <w:tab w:leader="underscore" w:pos="3922"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9"/>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ФГБУ «ЦЭККМП» Минздрава России</w:t>
      </w:r>
    </w:p>
    <w:p>
      <w:pPr>
        <w:pStyle w:val="Style9"/>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хакирИ@го8тедех.ги</w:t>
      </w:r>
    </w:p>
    <w:p>
      <w:pPr>
        <w:pStyle w:val="Style9"/>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ООО «АС-Групп»</w:t>
      </w:r>
    </w:p>
    <w:p>
      <w:pPr>
        <w:pStyle w:val="Style9"/>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а8-дгирр.агЪ@уапдех.ги</w:t>
      </w:r>
    </w:p>
    <w:p>
      <w:pPr>
        <w:pStyle w:val="Style9"/>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591" w:right="853" w:bottom="621" w:left="1212" w:header="0" w:footer="3" w:gutter="0"/>
          <w:pgNumType w:start="1"/>
          <w:cols w:num="2" w:space="720" w:equalWidth="0">
            <w:col w:w="4061" w:space="1138"/>
            <w:col w:w="4637"/>
          </w:cols>
          <w:noEndnote/>
          <w:titlePg/>
          <w:rtlGutter w:val="0"/>
          <w:docGrid w:linePitch="360"/>
        </w:sectPr>
      </w:pPr>
      <w:r>
        <w:rPr>
          <w:color w:val="000000"/>
          <w:spacing w:val="0"/>
          <w:w w:val="100"/>
          <w:position w:val="0"/>
          <w:shd w:val="clear" w:color="auto" w:fill="auto"/>
          <w:lang w:val="ru-RU" w:eastAsia="ru-RU" w:bidi="ru-RU"/>
        </w:rPr>
        <w:t>т&amp;@г1:8-1:епдег.ги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0" w:after="4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70" w:right="0" w:bottom="743"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№077/06/106-ЭГ3/2023 о нарушении</w:t>
        <w:br/>
        <w:t>законодательства о контрактной системе</w:t>
        <w:br/>
        <w:t>03.05.2023</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w:t>
        <w:softHyphen/>
        <w:t>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ФГБУ «ЦЭККМП» Минздрава России, ООО «АС-Групп», ООО «Феникс»,</w:t>
      </w:r>
    </w:p>
    <w:p>
      <w:pPr>
        <w:pStyle w:val="Style9"/>
        <w:keepNext w:val="0"/>
        <w:keepLines w:val="0"/>
        <w:widowControl w:val="0"/>
        <w:shd w:val="clear" w:color="auto" w:fill="auto"/>
        <w:bidi w:val="0"/>
        <w:spacing w:before="0" w:after="400" w:line="240" w:lineRule="auto"/>
        <w:ind w:left="0" w:right="0" w:firstLine="700"/>
        <w:jc w:val="both"/>
      </w:pPr>
      <w:r>
        <w:rPr>
          <w:color w:val="000000"/>
          <w:spacing w:val="0"/>
          <w:w w:val="100"/>
          <w:position w:val="0"/>
          <w:shd w:val="clear" w:color="auto" w:fill="auto"/>
          <w:lang w:val="ru-RU" w:eastAsia="ru-RU" w:bidi="ru-RU"/>
        </w:rPr>
        <w:t>рассмотрев жалобу ООО «АС-Групп» (далее — Заявитель) на действия ФГБУ «ЦЭККМП» Минздрава России (далее — Заказчик) при проведении открытого конкурса в электронной форме на право заключения государственного контракта на выполнение работ по капитальному ремонту нежилого здания, расположенного по адресу: г. Москва, ул. Гончарова, д. 6 А (Закупка № 0373100053523000011) (далее — конкурс), в соответствии с Федеральным законом от 05.04.2013 №44-ФЗ «О контрактной системе в сфере закупок товаров, работ, услуг</w:t>
      </w:r>
    </w:p>
    <w:p>
      <w:pPr>
        <w:pStyle w:val="Style12"/>
        <w:keepNext/>
        <w:keepLines/>
        <w:widowControl w:val="0"/>
        <w:shd w:val="clear" w:color="auto" w:fill="auto"/>
        <w:bidi w:val="0"/>
        <w:spacing w:before="0" w:after="0" w:line="240" w:lineRule="auto"/>
        <w:ind w:left="0" w:right="0"/>
        <w:jc w:val="left"/>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10"/>
        </w:rPr>
        <w:t>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конкурса.</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запрашиваемые письмом Московского УФАС России документы и сведения.</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неправомерном размещении протокола признания участника уклонившимся от заключения контракта от 25.04.2023 №ППУ20_1 ввиду отсутствия подписанного проекта контракта в установленный срок.</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18.04.2023 №ИЭОК1 ООО «АС-Групп» признано победителем процедуры.</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На основании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 «а» п. 2 ч.6 ст.51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ст.51 Закона о контрактной системе.</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силу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 1 ст.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 5 ч. 2 ст. 42 Закона о контрактной системе.</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силу ч.3 ст.51 Закона о контрактной системе не позднее пяти рабочих дней, следующих за днем размещения заказчиком в соответствии с ч.2 ст.51 проекта контракта, участник закупки, с которым заключается контракт, осуществляет одно из следующих действий:</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 xml:space="preserve">1) подписывает усиленной электронной подписью лица, имеющего право действовать от имени участника закупки, проект контракта и одновременно </w:t>
      </w:r>
      <w:r>
        <w:rPr>
          <w:color w:val="000000"/>
          <w:spacing w:val="0"/>
          <w:w w:val="100"/>
          <w:position w:val="0"/>
          <w:shd w:val="clear" w:color="auto" w:fill="auto"/>
          <w:lang w:val="ru-RU" w:eastAsia="ru-RU" w:bidi="ru-RU"/>
        </w:rPr>
        <w:t>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Согласно ч.4 ст.51 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ч.3 ст.51 Закона о контрактной системе, заказчик осуществляет одно из следующих действий:</w:t>
      </w:r>
    </w:p>
    <w:p>
      <w:pPr>
        <w:pStyle w:val="Style9"/>
        <w:keepNext w:val="0"/>
        <w:keepLines w:val="0"/>
        <w:widowControl w:val="0"/>
        <w:numPr>
          <w:ilvl w:val="0"/>
          <w:numId w:val="1"/>
        </w:numPr>
        <w:shd w:val="clear" w:color="auto" w:fill="auto"/>
        <w:tabs>
          <w:tab w:pos="1062"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Законом о контрактной системе, и не ранее срока, предусмотренного ч.1 ст.51 Закона о контрактной системе) в случае, если участник закупки, с которым заключается контракт, разместил информацию и документы в соответствии с п.1 ч.3 ст.51 Закона о контрактной системе;</w:t>
      </w:r>
    </w:p>
    <w:p>
      <w:pPr>
        <w:pStyle w:val="Style9"/>
        <w:keepNext w:val="0"/>
        <w:keepLines w:val="0"/>
        <w:widowControl w:val="0"/>
        <w:numPr>
          <w:ilvl w:val="0"/>
          <w:numId w:val="1"/>
        </w:numPr>
        <w:shd w:val="clear" w:color="auto" w:fill="auto"/>
        <w:tabs>
          <w:tab w:pos="1066"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 2 ч. 3 ст. 51 Закона о контрактной системе;</w:t>
      </w:r>
    </w:p>
    <w:p>
      <w:pPr>
        <w:pStyle w:val="Style9"/>
        <w:keepNext w:val="0"/>
        <w:keepLines w:val="0"/>
        <w:widowControl w:val="0"/>
        <w:numPr>
          <w:ilvl w:val="0"/>
          <w:numId w:val="1"/>
        </w:numPr>
        <w:shd w:val="clear" w:color="auto" w:fill="auto"/>
        <w:tabs>
          <w:tab w:pos="1066"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 2 ч. 3 ст. 51 Закона о контрактной системе.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пп. «б» п. 2 ч. 3 ст. 51 Закона о контрактной системе, подлежит обязательному учету.</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 xml:space="preserve">На заседании Комиссии Управления установлено, что 20.04.2023, в установленный Законом о контрактной системе срок, Заказчиком размещен проект контракта. В силу пп.2 ч.3 ст.51 Закона о контрактной системе 21.04.2023 победителем размещен протокол разногласий. В свою очередь, 21.04.2023 Заказчиком размещен доработанный проект контракта, с учетом информации, </w:t>
      </w:r>
      <w:r>
        <w:rPr>
          <w:color w:val="000000"/>
          <w:spacing w:val="0"/>
          <w:w w:val="100"/>
          <w:position w:val="0"/>
          <w:shd w:val="clear" w:color="auto" w:fill="auto"/>
          <w:lang w:val="ru-RU" w:eastAsia="ru-RU" w:bidi="ru-RU"/>
        </w:rPr>
        <w:t>содержащейся в протоколе разногласий.</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силу ч.5 ст.51 Закона о контрактной системе не позднее одного рабочего дня, следующего за датой размещения заказчиком информации и документов в соответствии с пп. 2 или 3 ч. 4 ст. 51 Закона о контрактной системе, участник закупки, с которым заключается контракт, осуществляет действия, предусмотренные пп. 1 ч. 3 ст. 51 Закона о контрактной системе.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Законом о контрактной системе, и не ранее срока, предусмотренного ч. 1 ст. 51 Закона о контрактной системе).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ч. 5 ст. 103 Закона о контрактной системе, такой подписанный контракт не размещается на официальном сайте.</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силу ч.6 ст.51 Закона о контрактной системе в случае, если участником закупки, с которым заключается контракт, не выполнены требования, предусмотренные ч. 3 (за исключением случая, предусмотренного пп. 3 ч. 3 ст. 51 Закона о контрактной системе, а также случая, если таким участником закупки в срок, установленный ч. 3 ст. 51 Закона о контрактной системе, не выполнены требования п. 3 ч. 3 ст. 51 Закона о контрактной системе) и ч. 5 ст. 51 Закона о контрактной системе:</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1) такой участник закупки считается уклонившимся от заключения контракта;</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2) заказчик не позднее одного рабочего дня, следующего за днем истечения срока выполнения участником закупки требований, предусмотренных ч. 3 и 5 ст. 51 Закона о контрактной системе:</w:t>
      </w:r>
    </w:p>
    <w:p>
      <w:pPr>
        <w:pStyle w:val="Style9"/>
        <w:keepNext w:val="0"/>
        <w:keepLines w:val="0"/>
        <w:widowControl w:val="0"/>
        <w:numPr>
          <w:ilvl w:val="0"/>
          <w:numId w:val="3"/>
        </w:numPr>
        <w:shd w:val="clear" w:color="auto" w:fill="auto"/>
        <w:tabs>
          <w:tab w:pos="1171"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9"/>
        <w:keepNext w:val="0"/>
        <w:keepLines w:val="0"/>
        <w:widowControl w:val="0"/>
        <w:numPr>
          <w:ilvl w:val="0"/>
          <w:numId w:val="3"/>
        </w:numPr>
        <w:shd w:val="clear" w:color="auto" w:fill="auto"/>
        <w:tabs>
          <w:tab w:pos="1171"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формирует и направляет в соответствии с порядком, предусмотренным ч. 10 ст. 104 Закона о контрактной системе, в день размещения в единой информационной системе протокола, предусмотренного пп. «а» п. 2 ч.6 ст.51 Закона о контрактной системе, обращение о включении информации об участнике закупки в реестр недобросовестных поставщиков (подрядчиков, исполнителей);</w:t>
      </w:r>
    </w:p>
    <w:p>
      <w:pPr>
        <w:pStyle w:val="Style9"/>
        <w:keepNext w:val="0"/>
        <w:keepLines w:val="0"/>
        <w:widowControl w:val="0"/>
        <w:numPr>
          <w:ilvl w:val="0"/>
          <w:numId w:val="5"/>
        </w:numPr>
        <w:shd w:val="clear" w:color="auto" w:fill="auto"/>
        <w:tabs>
          <w:tab w:pos="1171" w:val="left"/>
        </w:tabs>
        <w:bidi w:val="0"/>
        <w:spacing w:before="0" w:after="0" w:line="228" w:lineRule="auto"/>
        <w:ind w:left="0" w:right="0" w:firstLine="720"/>
        <w:jc w:val="both"/>
      </w:pPr>
      <w:r>
        <w:rPr>
          <w:color w:val="000000"/>
          <w:spacing w:val="0"/>
          <w:w w:val="100"/>
          <w:position w:val="0"/>
          <w:shd w:val="clear" w:color="auto" w:fill="auto"/>
          <w:lang w:val="ru-RU" w:eastAsia="ru-RU" w:bidi="ru-RU"/>
        </w:rPr>
        <w:t>оператор электронной площадки не позднее одного часа с момента размещения в соответствии с пп. «а» п. 2 ч.6 ст.51 Закона о контрактной системе протокола об уклонении участника закупки от заключения контракта направляет такому участнику закупки уведомление о таком размещении.</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победителем в установленный</w:t>
        <w:br w:type="page"/>
      </w:r>
      <w:r>
        <w:rPr>
          <w:color w:val="000000"/>
          <w:spacing w:val="0"/>
          <w:w w:val="100"/>
          <w:position w:val="0"/>
          <w:shd w:val="clear" w:color="auto" w:fill="auto"/>
          <w:lang w:val="ru-RU" w:eastAsia="ru-RU" w:bidi="ru-RU"/>
        </w:rPr>
        <w:t>Законом о контрактной системе срок, а именно 24.04.2023, не размещен на электронной площадке подписанный доработанный проект контракта, ввиду чего такой участник признан уклонившимся от заключения контракта на основании п.1 ч.6 ст.51 Закона о контрактной системе, что также следует из протокола признания участника уклонившимся от заключения контракта от 25.04.2023 №ППУ20_1.</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участником закупки осуществлено подписание проекта государственного контракта в 02:39:14 25.04.2023 нарушив, установленный ч.5 ст.51 Закона о контрактной системе срок, ввиду чего Заказчиком размещен протокол признания участника уклонившимся от заключения контракта от 25.04.2023 №ППУ20_1.</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обязанность доказывания нарушения Заказчиком своих прав и законных интересов лежит на подателе жалобы, однако, на заседании Комиссии Управления, а также в составе жалобы Заявителем не представлены документы и сведения, свидетельствующие о нарушении Заказчика норм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имеющихся документов и сведений Комиссия Управления приходит к выводу, что указанные доводы жалобы Заявителя не нашли своего подтверждения и являются необоснованными.</w:t>
      </w:r>
    </w:p>
    <w:p>
      <w:pPr>
        <w:pStyle w:val="Style9"/>
        <w:keepNext w:val="0"/>
        <w:keepLines w:val="0"/>
        <w:widowControl w:val="0"/>
        <w:shd w:val="clear" w:color="auto" w:fill="auto"/>
        <w:bidi w:val="0"/>
        <w:spacing w:before="0" w:after="200" w:line="226"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100" w:line="228"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7"/>
        </w:numPr>
        <w:shd w:val="clear" w:color="auto" w:fill="auto"/>
        <w:tabs>
          <w:tab w:pos="982"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.Признать жалобу ООО «АС-Групп» на действия ФГБУ «ЦЭККМП» Минздрава России необоснованной.</w:t>
      </w:r>
    </w:p>
    <w:p>
      <w:pPr>
        <w:pStyle w:val="Style9"/>
        <w:keepNext w:val="0"/>
        <w:keepLines w:val="0"/>
        <w:widowControl w:val="0"/>
        <w:numPr>
          <w:ilvl w:val="0"/>
          <w:numId w:val="7"/>
        </w:numPr>
        <w:shd w:val="clear" w:color="auto" w:fill="auto"/>
        <w:tabs>
          <w:tab w:pos="997" w:val="left"/>
        </w:tabs>
        <w:bidi w:val="0"/>
        <w:spacing w:before="0" w:after="200" w:line="228" w:lineRule="auto"/>
        <w:ind w:left="0" w:right="0" w:firstLine="70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письмом Московского УФАС России.</w:t>
      </w:r>
    </w:p>
    <w:p>
      <w:pPr>
        <w:pStyle w:val="Style9"/>
        <w:keepNext w:val="0"/>
        <w:keepLines w:val="0"/>
        <w:widowControl w:val="0"/>
        <w:shd w:val="clear" w:color="auto" w:fill="auto"/>
        <w:bidi w:val="0"/>
        <w:spacing w:before="0" w:after="600" w:line="228"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9"/>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640715</wp:posOffset>
                </wp:positionH>
                <wp:positionV relativeFrom="paragraph">
                  <wp:posOffset>12700</wp:posOffset>
                </wp:positionV>
                <wp:extent cx="1859280" cy="457200"/>
                <wp:wrapSquare wrapText="bothSides"/>
                <wp:docPr id="8" name="Shape 8"/>
                <a:graphic xmlns:a="http://schemas.openxmlformats.org/drawingml/2006/main">
                  <a:graphicData uri="http://schemas.microsoft.com/office/word/2010/wordprocessingShape">
                    <wps:wsp>
                      <wps:cNvSpPr txBox="1"/>
                      <wps:spPr>
                        <a:xfrm>
                          <a:ext cx="1859280" cy="4572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4" type="#_x0000_t202" style="position:absolute;margin-left:50.450000000000003pt;margin-top:1.pt;width:146.40000000000001pt;height:36.pt;z-index:-1258293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hd w:val="clear" w:color="auto" w:fill="auto"/>
          <w:lang w:val="ru-RU" w:eastAsia="ru-RU" w:bidi="ru-RU"/>
        </w:rPr>
        <w:t>С.И. Казарин</w:t>
      </w:r>
    </w:p>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p>
      <w:pPr>
        <w:pStyle w:val="Style9"/>
        <w:keepNext w:val="0"/>
        <w:keepLines w:val="0"/>
        <w:widowControl w:val="0"/>
        <w:shd w:val="clear" w:color="auto" w:fill="auto"/>
        <w:bidi w:val="0"/>
        <w:spacing w:before="0" w:after="1240" w:line="240" w:lineRule="auto"/>
        <w:ind w:left="0" w:right="0" w:firstLine="0"/>
        <w:jc w:val="right"/>
      </w:pPr>
      <w:r>
        <w:rPr>
          <w:color w:val="000000"/>
          <w:spacing w:val="0"/>
          <w:w w:val="100"/>
          <w:position w:val="0"/>
          <w:shd w:val="clear" w:color="auto" w:fill="auto"/>
          <w:lang w:val="ru-RU" w:eastAsia="ru-RU" w:bidi="ru-RU"/>
        </w:rPr>
        <w:t>Э.З. Гугава</w:t>
      </w:r>
    </w:p>
    <w:p>
      <w:pPr>
        <w:pStyle w:val="Style5"/>
        <w:keepNext w:val="0"/>
        <w:keepLines w:val="0"/>
        <w:widowControl w:val="0"/>
        <w:shd w:val="clear" w:color="auto" w:fill="auto"/>
        <w:bidi w:val="0"/>
        <w:spacing w:before="0" w:after="40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 Гугава Эдуард Звиадович 8 (495)784-75-05</w:t>
      </w:r>
    </w:p>
    <w:sectPr>
      <w:footnotePr>
        <w:pos w:val="pageBottom"/>
        <w:numFmt w:val="decimal"/>
        <w:numRestart w:val="continuous"/>
      </w:footnotePr>
      <w:type w:val="continuous"/>
      <w:pgSz w:w="11900" w:h="16840"/>
      <w:pgMar w:top="670" w:right="542" w:bottom="743"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10079990</wp:posOffset>
              </wp:positionV>
              <wp:extent cx="722630" cy="100330"/>
              <wp:wrapNone/>
              <wp:docPr id="4" name="Shape 4"/>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2022-32739</w:t>
                          </w:r>
                        </w:p>
                      </w:txbxContent>
                    </wps:txbx>
                    <wps:bodyPr wrap="none" lIns="0" tIns="0" rIns="0" bIns="0">
                      <a:spAutoFit/>
                    </wps:bodyPr>
                  </wps:wsp>
                </a:graphicData>
              </a:graphic>
            </wp:anchor>
          </w:drawing>
        </mc:Choice>
        <mc:Fallback>
          <w:pict>
            <v:shape id="_x0000_s1030" type="#_x0000_t202" style="position:absolute;margin-left:57.300000000000004pt;margin-top:793.7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2022-32739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6" name="Shape 6"/>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2022-32739</w:t>
                          </w:r>
                        </w:p>
                      </w:txbxContent>
                    </wps:txbx>
                    <wps:bodyPr wrap="none" lIns="0" tIns="0" rIns="0" bIns="0">
                      <a:spAutoFit/>
                    </wps:bodyPr>
                  </wps:wsp>
                </a:graphicData>
              </a:graphic>
            </wp:anchor>
          </w:drawing>
        </mc:Choice>
        <mc:Fallback>
          <w:pict>
            <v:shape id="_x0000_s1032"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2022-32739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463550</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05000000000001pt;margin-top:36.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8"/>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15FA9"/>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15FA9"/>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Федеральный закон от 05.04.2013 N 44-ФЗ(ред. от 16.04.2022)"О контрактной системе в сфере закупок товаров, работ, услуг для обеспечения государственных и муниципальных нужд"(с изм. и доп., вступ. в силу с 01.05.2022)</dc:title>
  <dc:subject/>
  <dc:creator/>
  <cp:keywords/>
</cp:coreProperties>
</file>