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по г. Москве</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Мясницкий проезд, д.4, стр. 1 107078, г. Москва, тел. (495) 784-75-05, факс (495) 607-49-29 факс (495) 607-42-92, </w:t>
      </w:r>
      <w:r>
        <w:rPr>
          <w:spacing w:val="0"/>
          <w:w w:val="100"/>
          <w:position w:val="0"/>
          <w:u w:val="single"/>
          <w:shd w:val="clear" w:color="auto" w:fill="auto"/>
          <w:lang w:val="ru-RU" w:eastAsia="ru-RU" w:bidi="ru-RU"/>
        </w:rPr>
        <w:t>е-тай: 1о77@Га8.еоу.п1</w:t>
      </w:r>
    </w:p>
    <w:p>
      <w:pPr>
        <w:widowControl w:val="0"/>
        <w:jc w:val="center"/>
        <w:rPr>
          <w:sz w:val="2"/>
          <w:szCs w:val="2"/>
        </w:rPr>
      </w:pPr>
      <w:r>
        <w:drawing>
          <wp:inline>
            <wp:extent cx="2597150" cy="99377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993775"/>
                    </a:xfrm>
                    <a:prstGeom prst="rect"/>
                  </pic:spPr>
                </pic:pic>
              </a:graphicData>
            </a:graphic>
          </wp:inline>
        </w:drawing>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ООО «ЦВЕТМЕТ»</w:t>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1а1суе1те1@та11.ги</w:t>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СС И НМП ИМ. А.С. ПУЧКОВА</w:t>
      </w:r>
    </w:p>
    <w:p>
      <w:pPr>
        <w:pStyle w:val="Style7"/>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хакирИ@03т8к.ги</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«Единая электронная торговая площадка»</w:t>
      </w:r>
    </w:p>
    <w:p>
      <w:pPr>
        <w:pStyle w:val="Style7"/>
        <w:keepNext w:val="0"/>
        <w:keepLines w:val="0"/>
        <w:widowControl w:val="0"/>
        <w:shd w:val="clear" w:color="auto" w:fill="auto"/>
        <w:bidi w:val="0"/>
        <w:spacing w:before="0" w:after="0" w:line="240" w:lineRule="auto"/>
        <w:ind w:left="0" w:right="0" w:firstLine="0"/>
        <w:jc w:val="left"/>
        <w:sectPr>
          <w:headerReference w:type="default" r:id="rId9"/>
          <w:headerReference w:type="first" r:id="rId10"/>
          <w:footnotePr>
            <w:pos w:val="pageBottom"/>
            <w:numFmt w:val="decimal"/>
            <w:numRestart w:val="continuous"/>
          </w:footnotePr>
          <w:pgSz w:w="11900" w:h="16840"/>
          <w:pgMar w:top="298" w:right="1343" w:bottom="1413" w:left="1332" w:header="0" w:footer="3" w:gutter="0"/>
          <w:pgNumType w:start="1"/>
          <w:cols w:num="2" w:space="720" w:equalWidth="0">
            <w:col w:w="3773" w:space="1301"/>
            <w:col w:w="4152"/>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24" w:right="0" w:bottom="989" w:left="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077/06/106-АК8/2023 о нарушении</w:t>
        <w:br/>
        <w:t>законодательства о контрактной системе</w:t>
        <w:br/>
        <w:t>03.03.2023</w:t>
        <w:tab/>
        <w:t>г. Москва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К.А. Сомова,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 СС И НМП ИМ. А.С. ПУЧКОВА: Татусовой Л.А. (по доверенности от 16.01.2023 №1-14/125),</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«ЦВЕТМЕТ» о времени и порядке заседания Комиссии Управления уведомлены надлежащим образом,</w:t>
      </w:r>
    </w:p>
    <w:p>
      <w:pPr>
        <w:pStyle w:val="Style7"/>
        <w:keepNext w:val="0"/>
        <w:keepLines w:val="0"/>
        <w:widowControl w:val="0"/>
        <w:shd w:val="clear" w:color="auto" w:fill="auto"/>
        <w:bidi w:val="0"/>
        <w:spacing w:before="0" w:after="1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ООО «ЦВЕТМЕТ» (далее — Заявитель) на действия СС И НМП ИМ. А.С. ПУЧКОВА (далее — Заказчик) при проведении электронного аукциона на право заключения государственного контракта на оказание услуг по вывозу и утилизации медицинского оборудования, офисной техники, компьютерной техники, бытового электрооборудования, вычислительной техники и мебели для нужд СС и НМП им. А.С. Пучкова (Закупка № 0373200000623000108) (далее — </w:t>
      </w:r>
      <w:r>
        <w:rPr>
          <w:color w:val="000000"/>
          <w:spacing w:val="0"/>
          <w:w w:val="100"/>
          <w:position w:val="0"/>
          <w:shd w:val="clear" w:color="auto" w:fill="auto"/>
          <w:lang w:val="ru-RU" w:eastAsia="ru-RU" w:bidi="ru-RU"/>
        </w:rPr>
        <w:t>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аукцион.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24.04.2023 №ИЭА1 заявка Заявителя (идентификационный номер заявки 6) признана не соответствующей требованиям извещения об осуществлении закупки, в частности на следующем основании: «В приложении к лицензии отсутствует вид отходов ламп ртутных, ртутно-кварцевых, люминесцентных, утративших потребительские свойства (код по ФККО 47110101521) с разрешенным видом деятельности сбор, транспортировка, обработка, утилизация и обезвреживание».</w:t>
      </w:r>
    </w:p>
    <w:p>
      <w:pPr>
        <w:pStyle w:val="Style7"/>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7"/>
        <w:keepNext w:val="0"/>
        <w:keepLines w:val="0"/>
        <w:widowControl w:val="0"/>
        <w:shd w:val="clear" w:color="auto" w:fill="auto"/>
        <w:bidi w:val="0"/>
        <w:spacing w:before="0" w:after="0" w:line="226" w:lineRule="auto"/>
        <w:ind w:left="0" w:right="0" w:firstLine="700"/>
        <w:jc w:val="both"/>
      </w:pPr>
      <w:r>
        <w:rPr>
          <w:color w:val="000000"/>
          <w:spacing w:val="0"/>
          <w:w w:val="100"/>
          <w:position w:val="0"/>
          <w:shd w:val="clear" w:color="auto" w:fill="auto"/>
          <w:lang w:val="ru-RU" w:eastAsia="ru-RU" w:bidi="ru-RU"/>
        </w:rPr>
        <w:t>Согласно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Согласно п.12.1 Информационной карты установлены требования к участникам закупки: «Действующая лицензия на осуществление деятельности по сбору, транспортированию, обработке, утилизации, обезвреживанию, размещению отходов Т-ГУ классов опасности, выданной Федеральной службой по надзору в сфере природопользования с Приложением. В приложении должны быть указаны следующие виды отходов и разрешенные виды деятельности: Виды отходов, входящие в разделы 48100000000 и 48200000000 Федерального классификационного каталога отходов с разрешенным видом деятельности сбор, транспортировка, обработка, утилизация. Вид отходов ламп ртутных, ртутно</w:t>
        <w:softHyphen/>
      </w:r>
      <w:r>
        <w:rPr>
          <w:color w:val="000000"/>
          <w:spacing w:val="0"/>
          <w:w w:val="100"/>
          <w:position w:val="0"/>
          <w:shd w:val="clear" w:color="auto" w:fill="auto"/>
          <w:lang w:val="ru-RU" w:eastAsia="ru-RU" w:bidi="ru-RU"/>
        </w:rPr>
        <w:t>кварцевых, люминесцентных, утративших потребительские свойства (код по ФККО 47110101521) с разрешенным видом деятельности сбор, транспортировка, обработка, утилизация и обезвреживание».</w:t>
      </w:r>
    </w:p>
    <w:p>
      <w:pPr>
        <w:pStyle w:val="Style7"/>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Согласно пп.2 п.14 требований к содержанию, составу заявки установлено: «Документы или сведения, подтверждающие соответствие участника закупки</w:t>
      </w:r>
    </w:p>
    <w:p>
      <w:pPr>
        <w:pStyle w:val="Style7"/>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требованиям, установленным пунктом 1 части 1 статьи 31 Закона о контрактной системе копия действующей лицензии на осуществление деятельности по сбору, транспортированию, обработке, утилизации, обезвреживанию, размещению отходов НУ классов опасности, выданной Федеральной службой по надзору в сфере природопользования с Приложением. В приложении должны быть указаны следующие виды отходов и разрешенные виды деятельности: Виды отходов, входящие в разделы 48100000000 и 48200000000 Федерального классификационного каталога отходов с разрешенным видом деятельности сбор, транспортировка, обработка, утилизация. Вид отходов ламп ртутных, ртутно-кварцевых, люминесцентных, утративших потребительские свойства (код по ФККО 47110101521) с разрешенным видом деятельности сбор, транспортировка, обработка, утилизация и обезвреживание».</w:t>
      </w:r>
    </w:p>
    <w:p>
      <w:pPr>
        <w:pStyle w:val="Style7"/>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соответствии с пп. «н» п.1 ч. 1 ст. 43 Закона о контрактной системе для участия в конкурентном способе заявка на участие в закупке должна содержать информацию и документы об участнике закупки, в том числе документы, подтверждающие соответствие участника закупки требованиям, установленным п.1 ч.1 ст.31 Закона о контрактной системе, документы, подтверждающие соответствие участника закупки дополнительным требованиям, установленным в соответствии с ч.2 и ч.2.1 (при наличии таких требований) ст.31 Закона о контрактной системе, если иное не предусмотрено Законом о контрактной системе.</w:t>
      </w:r>
    </w:p>
    <w:p>
      <w:pPr>
        <w:pStyle w:val="Style7"/>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составе заявки Заявителя представлена выписка из реестра лицензий на осуществление следующих видов деятельности: Обезвреживание отходов III, IV классов опасности; Обработка отходов II, III, IV классов опасности; Сбор отходов II, III, IV классов опасности; Транспортирование отходов I, II, III, IV классов опасности, в которой, в отношении ламп ртутных, ртутно-кварцевых, люминесцентных, утративших потребительские свойства (код по ФККО 47110101521) отсутствует указание на сбор, обработку, утилизацию и обезвреживание, что прямо противоречит пп.2 п.14 требований к содержанию, составу заявки.</w:t>
      </w:r>
    </w:p>
    <w:p>
      <w:pPr>
        <w:pStyle w:val="Style7"/>
        <w:keepNext w:val="0"/>
        <w:keepLines w:val="0"/>
        <w:widowControl w:val="0"/>
        <w:shd w:val="clear" w:color="auto" w:fill="auto"/>
        <w:bidi w:val="0"/>
        <w:spacing w:before="0" w:after="0" w:line="233" w:lineRule="auto"/>
        <w:ind w:left="0" w:right="0" w:firstLine="700"/>
        <w:jc w:val="both"/>
      </w:pPr>
      <w:r>
        <w:rPr>
          <w:color w:val="000000"/>
          <w:spacing w:val="0"/>
          <w:w w:val="100"/>
          <w:position w:val="0"/>
          <w:shd w:val="clear" w:color="auto" w:fill="auto"/>
          <w:lang w:val="ru-RU" w:eastAsia="ru-RU" w:bidi="ru-RU"/>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7"/>
        <w:keepNext w:val="0"/>
        <w:keepLines w:val="0"/>
        <w:widowControl w:val="0"/>
        <w:numPr>
          <w:ilvl w:val="0"/>
          <w:numId w:val="1"/>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1"/>
        </w:numPr>
        <w:shd w:val="clear" w:color="auto" w:fill="auto"/>
        <w:tabs>
          <w:tab w:pos="111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1"/>
        </w:numPr>
        <w:shd w:val="clear" w:color="auto" w:fill="auto"/>
        <w:tabs>
          <w:tab w:pos="18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7"/>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Комиссия Управления приходит к выводу, что у комиссии Заказчика имелись основания для признания заявки Заявителя несоответствующей, и что решение комиссии Заказчика является правомерным.</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ходе проведения внеплановой проверки Комиссией Управления установлено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24.04.2023 №ИЭА1 заявка ООО «Чистый мир» (идентификационный номер заявки 5) признана соответствующей требованиям извещения о закупке.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установлено Комиссией Управления в составе заявки ООО «Чистый мир» представлена лицензия от 30.05.2018 №077 70 на осуществление лицензируемого вида деятельности по Транспортированию отходов 1-1У классов опасности, а также договор №01/ЭТС от 10.01.2022 на услуги по обращению с отходами производства и потребления между ООО «Экотром ТС» и ООО «Чистый мир», лицензия от 29.05.2019 №050 034, выданная ООО «Экотром ТС» на осуществления сбора, транспортирования, обработку, обезвреживание, утилизацию отходов 1-1У классов опасности.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установленные в составе документации в соответствии с положениями ч.1 ст.31 Закона о контрактной системе требования к участникам закупки о наличии действующей лицензией на осуществление деятельности по сбору, транспортированию, обработке, утилизации, обезвреживанию, размещению отходов 1-1У классов опасности распространяются исключительно на самих участников закупки, которые в качестве подтверждения возможности оказания лицензируемых услуг прикладывают в составе заявки копию лицензии, выданной непосредственно участнику закупки. При этом представление в составе заявки информации об иных лицах, которые вправе оказывать иные лицензируемые услуги, не отраженные в составе собственной лицензии участника закупки, не могут подтверждать соответствие такого участника закупки требованиям ч.1 ст.31 Закона о контрактной системе и положениям извещения.</w:t>
      </w:r>
    </w:p>
    <w:p>
      <w:pPr>
        <w:pStyle w:val="Style7"/>
        <w:keepNext w:val="0"/>
        <w:keepLines w:val="0"/>
        <w:widowControl w:val="0"/>
        <w:shd w:val="clear" w:color="auto" w:fill="auto"/>
        <w:tabs>
          <w:tab w:pos="81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что решение закупочной комиссии Заказчика о признании заявки ООО «Чистый мир» соответствующей требованиям закупочной документации нарушают положения пп. «а» п. 1 ч. 5 ст. 49 Закона о контрактной системе, что содержит признаки состава административного правонарушения, ответственность за которое предусмотрена ч.2</w:t>
        <w:tab/>
        <w:t>ст.7.30 Кодекса Российской Федерации об административных</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Комиссия Управления отмечает следующее.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Лицензирование деятельности по сбору, транспортированию, обработке, утилизации, обезвреживанию, размещению отходов I - IV классов опасности осуществляется с учетом положений Федерального закона от 24.06.1998 № 89-ФЗ «Об отходах производства и потребления» (далее — Закон № 89-ФЗ).</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ст. 1 Закона № 89-ФЗ:</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сбор отходов - прием отходов в целях их дальнейших обработки, утилизации, обезвреживания, размещения;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транспортирование отходов - перевозка отходов автомобильным, железнодорожным, воздушным, внутренним водным и морским транспортом в </w:t>
      </w:r>
      <w:r>
        <w:rPr>
          <w:color w:val="000000"/>
          <w:spacing w:val="0"/>
          <w:w w:val="100"/>
          <w:position w:val="0"/>
          <w:shd w:val="clear" w:color="auto" w:fill="auto"/>
          <w:lang w:val="ru-RU" w:eastAsia="ru-RU" w:bidi="ru-RU"/>
        </w:rPr>
        <w:t>пределах территории Российской Федерации, в том числе по автомобильным дорогам и железнодорожным путям, осуществляемая вне границ земельного участка, находящегося в собственности индивидуального предпринимателя или юридического лица либо предоставленного им на иных правах;</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обработка отходов - предварительная подготовка отходов к дальнейшей утилизации, включая их сортировку, разборку, очистку;</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размещение отходов - хранение и захоронение отходов.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вышеуказанного определения следует, что сбор отходов — это прием отходов в целях их дальнейших обработки, утилизации, обезвреживания, либо прием отходов в целях размещения лицом, осуществляющим их обработку, утилизацию, обезвреживание, размещение.</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прием отходов для дальнейшего их обращения иным лицом, уполномоченным на обработку, утилизацию, обезвреживание, размещение, либо для самостоятельного совершения вышеперечисленных действий — это сбор отходов.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6 ст. 12 Закона № 89-ФЗ объекты размещения отходов вносятся в государственный реестр объектов размещения отходов. Ведение государственного реестра объектов размещения отходов осуществляется в порядке, определенном уполномоченным Правительством Российской Федерации федеральным органом исполнительной власти. При этом в соответствии с Постановлением Правительства РФ от 12 октября 2020 г. № 1657 «О Единых требованиях к объектам обработки, утилизации, обезвреживания, размещения твердых коммунальных отходов» при выборе технологических решений для объектов обработки, утилизации, обезвреживания, размещения твердых коммунальных отходов и сочетаний этих технологических решений должна обеспечиваться их приоритетность в следующей по следовательности:</w:t>
      </w:r>
    </w:p>
    <w:p>
      <w:pPr>
        <w:pStyle w:val="Style7"/>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обработка твердых коммунальных отходов в целях выделения из состава твердых коммунальных отходов видов отходов, пригодных для дальнейшей утилизации;</w:t>
      </w:r>
    </w:p>
    <w:p>
      <w:pPr>
        <w:pStyle w:val="Style7"/>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утилизация видов отходов, выделенных из состава твердых коммунальных отходов при обработке твердых коммунальных отходов, с использованием их потенциала материального ресурса;</w:t>
      </w:r>
    </w:p>
    <w:p>
      <w:pPr>
        <w:pStyle w:val="Style7"/>
        <w:keepNext w:val="0"/>
        <w:keepLines w:val="0"/>
        <w:widowControl w:val="0"/>
        <w:numPr>
          <w:ilvl w:val="0"/>
          <w:numId w:val="3"/>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утилизация видов отходов, выделенных из состава твердых коммунальных отходов при обработке твердых коммунальных отходов, с использованием их потенциала энергетического ресурса;</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обезвреживание твердых коммунальных отходов;</w:t>
      </w:r>
    </w:p>
    <w:p>
      <w:pPr>
        <w:pStyle w:val="Style7"/>
        <w:keepNext w:val="0"/>
        <w:keepLines w:val="0"/>
        <w:widowControl w:val="0"/>
        <w:numPr>
          <w:ilvl w:val="0"/>
          <w:numId w:val="3"/>
        </w:numPr>
        <w:shd w:val="clear" w:color="auto" w:fill="auto"/>
        <w:tabs>
          <w:tab w:pos="18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захоронение твердых коммунальных отходов.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для осуществления вывоза отходов с объекта такие отходы необходимо принять и перевезти на законном основании, то есть исполнитель осуществляет сбор и транспортирование отходов, а объект размещения отходов (полигон) осуществляет остальные действия по обработке, обезвреживанию, утилизации отходов.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Комиссия Управления отмечает, исходя из установленных Заказчиком требований к участникам закупки, в закупке могут принять участие исключительно </w:t>
      </w:r>
      <w:r>
        <w:rPr>
          <w:color w:val="000000"/>
          <w:spacing w:val="0"/>
          <w:w w:val="100"/>
          <w:position w:val="0"/>
          <w:shd w:val="clear" w:color="auto" w:fill="auto"/>
          <w:lang w:val="ru-RU" w:eastAsia="ru-RU" w:bidi="ru-RU"/>
        </w:rPr>
        <w:t>полигоны, так как только на них допускается обработка, обезвреживание, утилизация отходов.</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то же время полигон, не обладающий лицензией на сбор и транспортирование, не сможет привлечь на субподряд организацию с такой лицензией, поскольку именно организация осуществляющая сбор и транспортировку отходов взаимодействует непосредственно с Заказчиком (то есть вывозит мусор), при этом при обработке, обезвреживании, утилизации отходов взаимодействие с Заказчиком не осуществляется.</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ч.6 ст.31 и п.12 ч.1 ст.42 Закона о контрактной системе, поскольку установление требования к участникам закупки о наличии лицензии на обработку, обезвреживание, утилизацию отходов 1-1У класса опасности, а также предоставление такой лицензии в составе второй части заявки, является неправомерным и влечет за собой ограничение количества участников закупки. Таким образом, действия Заказчика содержат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Комиссией Управления установлено, что Заказчиком предъявлены к участникам закупки требование о наличии лицензии на сбор, транспортировку, обработку, утилизацию и обезвреживание отходов ламп ртутных, ртутно</w:t>
        <w:softHyphen/>
        <w:t>кварцевых, люминесцентных, утративших потребительские свойства (код по ФККО 47110101521), при этом согласно пояснениям представителя Заказчика общее количество подлежащих вывозу и утилизации ламп не превышает 10 шт., вместе с тем общее количество товаров согласно Приложению 1 к Техническому заданию составляет 13308 шт.</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в данном случае установление требование о наличии лицензии на сбор, транспортировку, обработку, утилизацию и обезвреживание отходов ламп ртутных, ртутно-кварцевых, люминесцентных, утративших потребительские свойства, в составе заявки на участие в закупке неправомерно.</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необходимо обратить внимание, что заказчик вправе установить требование о наличии лицензии в отношении указанного выше вида отходов у подрядчика (исполнителя) данных работ (услуг) на этапе их выполнения (оказания) по контракту. Кроме того, для выполнения (оказания) указанных сопутствующих работ (услуг) подрядчик (исполнитель) вправе привлечь субподрядчика, имеющего лицензию на данный вид деятельности.</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Комиссия Управления приходит к выводу о том, что действия Заказчика нарушают ч.6 ст.31, п.12 ч.1 ст.42 Закона о контрактной системе,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7"/>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7"/>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«ЦВЕТМЕТ» на действия комиссии СС И НМП ИМ. А.С. ПУЧКОВА необоснованной.</w:t>
      </w:r>
    </w:p>
    <w:p>
      <w:pPr>
        <w:pStyle w:val="Style7"/>
        <w:keepNext w:val="0"/>
        <w:keepLines w:val="0"/>
        <w:widowControl w:val="0"/>
        <w:numPr>
          <w:ilvl w:val="0"/>
          <w:numId w:val="5"/>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нарушение ч.6 ст.31, п.12 ч.1 ст.42 Закона о контрактной системе, в действиях закупочной комиссии Заказчика нарушение пп. «а» п. 1 ч. 5 ст. 49 Закона о контрактной системе.</w:t>
      </w:r>
    </w:p>
    <w:p>
      <w:pPr>
        <w:pStyle w:val="Style7"/>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7"/>
        <w:keepNext w:val="0"/>
        <w:keepLines w:val="0"/>
        <w:widowControl w:val="0"/>
        <w:numPr>
          <w:ilvl w:val="0"/>
          <w:numId w:val="5"/>
        </w:numPr>
        <w:shd w:val="clear" w:color="auto" w:fill="auto"/>
        <w:tabs>
          <w:tab w:pos="1102"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7"/>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7"/>
        <w:keepNext w:val="0"/>
        <w:keepLines w:val="0"/>
        <w:widowControl w:val="0"/>
        <w:shd w:val="clear" w:color="auto" w:fill="auto"/>
        <w:bidi w:val="0"/>
        <w:spacing w:before="0" w:after="18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698500</wp:posOffset>
                </wp:positionH>
                <wp:positionV relativeFrom="paragraph">
                  <wp:posOffset>12700</wp:posOffset>
                </wp:positionV>
                <wp:extent cx="1859280" cy="603250"/>
                <wp:wrapSquare wrapText="bothSides"/>
                <wp:docPr id="5" name="Shape 5"/>
                <a:graphic xmlns:a="http://schemas.openxmlformats.org/drawingml/2006/main">
                  <a:graphicData uri="http://schemas.microsoft.com/office/word/2010/wordprocessingShape">
                    <wps:wsp>
                      <wps:cNvSpPr txBox="1"/>
                      <wps:spPr>
                        <a:xfrm>
                          <a:ext cx="1859280" cy="603250"/>
                        </a:xfrm>
                        <a:prstGeom prst="rect"/>
                        <a:noFill/>
                      </wps:spPr>
                      <wps:txbx>
                        <w:txbxContent>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1" type="#_x0000_t202" style="position:absolute;margin-left:55.pt;margin-top:1.pt;width:146.40000000000001pt;height:47.5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18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К.А. Сомов</w:t>
      </w:r>
    </w:p>
    <w:p>
      <w:pPr>
        <w:pStyle w:val="Style7"/>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А.А. Кутейников</w:t>
      </w:r>
    </w:p>
    <w:p>
      <w:pPr>
        <w:pStyle w:val="Style7"/>
        <w:keepNext w:val="0"/>
        <w:keepLines w:val="0"/>
        <w:widowControl w:val="0"/>
        <w:shd w:val="clear" w:color="auto" w:fill="auto"/>
        <w:bidi w:val="0"/>
        <w:spacing w:before="0" w:after="6360" w:line="240" w:lineRule="auto"/>
        <w:ind w:left="0" w:right="0" w:firstLine="0"/>
        <w:jc w:val="right"/>
      </w:pPr>
      <w:r>
        <w:rPr>
          <w:color w:val="000000"/>
          <w:spacing w:val="0"/>
          <w:w w:val="100"/>
          <w:position w:val="0"/>
          <w:shd w:val="clear" w:color="auto" w:fill="auto"/>
          <w:lang w:val="ru-RU" w:eastAsia="ru-RU" w:bidi="ru-RU"/>
        </w:rPr>
        <w:t>Е.Д.Мартьянова</w:t>
      </w:r>
    </w:p>
    <w:p>
      <w:pPr>
        <w:pStyle w:val="Style1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Исп.Кутейников А.А. тел.8(495)784-75-05</w:t>
      </w:r>
    </w:p>
    <w:sectPr>
      <w:footnotePr>
        <w:pos w:val="pageBottom"/>
        <w:numFmt w:val="decimal"/>
        <w:numRestart w:val="continuous"/>
      </w:footnotePr>
      <w:type w:val="continuous"/>
      <w:pgSz w:w="11900" w:h="16840"/>
      <w:pgMar w:top="924" w:right="538" w:bottom="989" w:left="1100"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419100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90000000000003pt;margin-top:3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425FA6"/>
      <w:sz w:val="19"/>
      <w:szCs w:val="19"/>
      <w:u w:val="none"/>
    </w:rPr>
  </w:style>
  <w:style w:type="character" w:customStyle="1" w:styleId="CharStyle5">
    <w:name w:val="Подпись к картинке_"/>
    <w:basedOn w:val="DefaultParagraphFont"/>
    <w:link w:val="Style4"/>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 (3)_"/>
    <w:basedOn w:val="DefaultParagraphFont"/>
    <w:link w:val="Style1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20"/>
      <w:jc w:val="center"/>
    </w:pPr>
    <w:rPr>
      <w:rFonts w:ascii="Times New Roman" w:eastAsia="Times New Roman" w:hAnsi="Times New Roman" w:cs="Times New Roman"/>
      <w:b/>
      <w:bCs/>
      <w:i w:val="0"/>
      <w:iCs w:val="0"/>
      <w:smallCaps w:val="0"/>
      <w:strike w:val="0"/>
      <w:color w:val="425FA6"/>
      <w:sz w:val="19"/>
      <w:szCs w:val="19"/>
      <w:u w:val="none"/>
    </w:rPr>
  </w:style>
  <w:style w:type="paragraph" w:customStyle="1" w:styleId="Style4">
    <w:name w:val="Подпись к картинке"/>
    <w:basedOn w:val="Normal"/>
    <w:link w:val="CharStyle5"/>
    <w:pPr>
      <w:widowControl w:val="0"/>
      <w:shd w:val="clear" w:color="auto" w:fill="auto"/>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3)"/>
    <w:basedOn w:val="Normal"/>
    <w:link w:val="CharStyle14"/>
    <w:pPr>
      <w:widowControl w:val="0"/>
      <w:shd w:val="clear" w:color="auto" w:fill="auto"/>
      <w:spacing w:after="2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s>
</file>