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  <Override PartName="/word/header1.xml" ContentType="application/vnd.openxmlformats-officedocument.wordprocessingml.header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 xmlns:w15="http://schemas.microsoft.com/office/word/2012/wordml" mc:Ignorable="w15">
  <w:body>
    <w:p>
      <w:pPr>
        <w:widowControl w:val="0"/>
        <w:jc w:val="center"/>
        <w:rPr>
          <w:sz w:val="2"/>
          <w:szCs w:val="2"/>
        </w:rPr>
      </w:pPr>
      <w:r>
        <w:drawing>
          <wp:inline>
            <wp:extent cx="511810" cy="609600"/>
            <wp:docPr id="1" name="Picut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r:embed="rId5"/>
                    <a:stretch/>
                  </pic:blipFill>
                  <pic:spPr>
                    <a:xfrm>
                      <a:ext cx="511810" cy="609600"/>
                    </a:xfrm>
                    <a:prstGeom prst="rect"/>
                  </pic:spPr>
                </pic:pic>
              </a:graphicData>
            </a:graphic>
          </wp:inline>
        </w:drawing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59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ФЕДЕРАЛЬНАЯ</w:t>
        <w:br/>
        <w:t>АНТИМОНОПОЛЬНАЯ СЛУЖБА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УПРАВЛЕНИЕ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180" w:line="240" w:lineRule="auto"/>
        <w:ind w:left="0" w:right="0" w:firstLine="0"/>
        <w:jc w:val="center"/>
      </w:pPr>
      <w:r>
        <w:rPr>
          <w:b/>
          <w:bCs/>
          <w:spacing w:val="0"/>
          <w:w w:val="100"/>
          <w:position w:val="0"/>
          <w:shd w:val="clear" w:color="auto" w:fill="auto"/>
          <w:lang w:val="ru-RU" w:eastAsia="ru-RU" w:bidi="ru-RU"/>
        </w:rPr>
        <w:t>по г. Москве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>Мясницкий проезд, д.4, стр. 1</w:t>
        <w:br/>
        <w:t>107078, г. Москва,</w:t>
        <w:br/>
        <w:t>тел. (495) 784-75-05, факс (495) 607-49-29</w:t>
        <w:br/>
        <w:t xml:space="preserve">факс (495) 607-42-92, </w:t>
      </w:r>
      <w:r>
        <w:rPr>
          <w:spacing w:val="0"/>
          <w:w w:val="100"/>
          <w:position w:val="0"/>
          <w:u w:val="single"/>
          <w:shd w:val="clear" w:color="auto" w:fill="auto"/>
          <w:lang w:val="ru-RU" w:eastAsia="ru-RU" w:bidi="ru-RU"/>
        </w:rPr>
        <w:t>е-таП: 1о77@Га8.аоу.ги</w:t>
      </w:r>
    </w:p>
    <w:p>
      <w:pPr>
        <w:pStyle w:val="Style5"/>
        <w:keepNext w:val="0"/>
        <w:keepLines w:val="0"/>
        <w:widowControl w:val="0"/>
        <w:shd w:val="clear" w:color="auto" w:fill="auto"/>
        <w:tabs>
          <w:tab w:leader="underscore" w:pos="1766" w:val="left"/>
          <w:tab w:leader="underscore" w:pos="3926" w:val="left"/>
        </w:tabs>
        <w:bidi w:val="0"/>
        <w:spacing w:before="0" w:line="240" w:lineRule="auto"/>
        <w:ind w:left="0" w:right="0" w:firstLine="0"/>
        <w:jc w:val="both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ab/>
        <w:t xml:space="preserve"> №</w:t>
        <w:tab/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r>
        <w:rPr>
          <w:spacing w:val="0"/>
          <w:w w:val="100"/>
          <w:position w:val="0"/>
          <w:shd w:val="clear" w:color="auto" w:fill="auto"/>
          <w:lang w:val="ru-RU" w:eastAsia="ru-RU" w:bidi="ru-RU"/>
        </w:rPr>
        <w:t xml:space="preserve">На №  от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ГКУ «Дирекция ЖКХИБ ЮВАО»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^дкЪ-иVао@риVао.то8.^и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4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«Автомобильные дороги ЮВАО»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оГЛсе@ау1ос1ог-11Уао.П1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ООО «Эфкей-рампс»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  <w:sectPr>
          <w:headerReference w:type="default" r:id="rId7"/>
          <w:footnotePr>
            <w:pos w:val="pageBottom"/>
            <w:numFmt w:val="decimal"/>
            <w:numRestart w:val="continuous"/>
          </w:footnotePr>
          <w:pgSz w:w="11900" w:h="16840"/>
          <w:pgMar w:top="1407" w:right="737" w:bottom="1474" w:left="1130" w:header="0" w:footer="1046" w:gutter="0"/>
          <w:pgNumType w:start="1"/>
          <w:cols w:num="2" w:space="720" w:equalWidth="0">
            <w:col w:w="4061" w:space="1330"/>
            <w:col w:w="4642"/>
          </w:cols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йкЪодюп@тай.ги</w:t>
      </w: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line="240" w:lineRule="exact"/>
        <w:rPr>
          <w:sz w:val="19"/>
          <w:szCs w:val="19"/>
        </w:rPr>
      </w:pPr>
    </w:p>
    <w:p>
      <w:pPr>
        <w:widowControl w:val="0"/>
        <w:spacing w:before="66" w:after="66" w:line="240" w:lineRule="exact"/>
        <w:rPr>
          <w:sz w:val="19"/>
          <w:szCs w:val="19"/>
        </w:rPr>
      </w:pPr>
    </w:p>
    <w:p>
      <w:pPr>
        <w:widowControl w:val="0"/>
        <w:spacing w:line="1" w:lineRule="exact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42" w:right="0" w:bottom="1440" w:left="0" w:header="0" w:footer="3" w:gutter="0"/>
          <w:cols w:space="720"/>
          <w:noEndnote/>
          <w:rtlGutter w:val="0"/>
          <w:docGrid w:linePitch="360"/>
        </w:sectPr>
      </w:pPr>
    </w:p>
    <w:p>
      <w:pPr>
        <w:pStyle w:val="Style11"/>
        <w:keepNext/>
        <w:keepLines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center"/>
      </w:pPr>
      <w:bookmarkStart w:id="0" w:name="bookmark0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ЕШЕНИЕ</w:t>
      </w:r>
      <w:bookmarkEnd w:id="0"/>
    </w:p>
    <w:p>
      <w:pPr>
        <w:pStyle w:val="Style11"/>
        <w:keepNext/>
        <w:keepLines/>
        <w:widowControl w:val="0"/>
        <w:shd w:val="clear" w:color="auto" w:fill="auto"/>
        <w:bidi w:val="0"/>
        <w:spacing w:before="0" w:line="240" w:lineRule="auto"/>
        <w:ind w:left="0" w:right="0" w:firstLine="0"/>
        <w:jc w:val="center"/>
      </w:pPr>
      <w:bookmarkStart w:id="2" w:name="bookmark2"/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по делу №077/06/106-5728/2023 о нарушении</w:t>
        <w:br/>
        <w:t xml:space="preserve">законодательства </w:t>
      </w: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о контрактной системе</w:t>
      </w:r>
      <w:bookmarkEnd w:id="2"/>
    </w:p>
    <w:p>
      <w:pPr>
        <w:pStyle w:val="Style9"/>
        <w:keepNext w:val="0"/>
        <w:keepLines w:val="0"/>
        <w:widowControl w:val="0"/>
        <w:shd w:val="clear" w:color="auto" w:fill="auto"/>
        <w:tabs>
          <w:tab w:pos="8323" w:val="left"/>
        </w:tabs>
        <w:bidi w:val="0"/>
        <w:spacing w:before="0" w:after="280" w:line="240" w:lineRule="auto"/>
        <w:ind w:left="0" w:right="0" w:firstLine="0"/>
        <w:jc w:val="left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03.05.2023</w:t>
        <w:tab/>
        <w:t>г. Москва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Комиссия Управления Федеральной антимонопольной службы по г. Москве по контролю в сфере закупок товаров, работ, услуг (далее - Комиссия Управления) в составе: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Председательствующего: Главного государственного инспектора отдела обжалования государственных закупок С.И. Казарина,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Членов Комиссии: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Э.З. Гугава,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Ведущего специалиста-эксперта отдела обжалования государственных закупок А.А. Матюшенко,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рассмотрение жалобы проводилось дистанционно (посредством видеоконференцсвязи) в целях исполнения Указа Мэра Москвы от 25.09.2020 № 92-УМ «О внесении изменений в правовые акты города Москвы» и предупреждения распространения в городе Москве инфекции, вызванной коронавирусом 2019-пСоУ,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при участии представителей ГБУ «Автомобильные дороги ЮВАО»,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отсутствие представителей ГКУ «Дирекция ЖКХИБ ЮВАО», ООО «Эфкей-рампс», о времени и порядке заседания Комиссии Управления уведомленных надлежащим образом письмом Московского УФАС России,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рассмотрев жалобу ООО «Эфкей-рампс» (далее — Заявитель) на действия ГБУ «Автомобильные дороги ЮВАО» (далее — Заказчик) при проведении электронного аукциона на право заключения государственного контракта на поставку МАФ для организации скейт-парка и обустройства прилегающей территории в район Нижегородский, ул. Верхняя Хохловка д. 17 (Закупка № 0373200041123000347) (далее - электронный аукцион) в соответствии с Федеральным законом от 05.04.2013 №44-ФЗ «О контрактной системе в сфере закупок товаров, работ, услуг для обеспечения государственных и муниципальных нужд» (далее - Закон о контрактной системе),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УСТАНОВИЛА: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Московское УФАС России поступила жалоба Заявителя на действия Заказчика при проведении вышеуказанного электронного аукциона.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На заседании Комиссии Управления Заказчиком представлены документы и сведения, запрашиваемые письмом Московского УФАС России, Комиссия Управления установила следующее.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 составе жалобы Заявитель указывает, что в составе извещения Заказчи</w:t>
        <w:softHyphen/>
        <w:t>ком неправомерно не размещена инструкция по заполнению заявки, содержащая правила чтения слов «не менее», «не ниже», «должны быть», которые использу</w:t>
        <w:softHyphen/>
        <w:t>ются Заказчиком при описании объекта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ч.2 ст.42 Закона о контрактной системе извещение об осуществлении закупки должно содержать описание объекта закупки в соответствии со ст.33 Закона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п.1 ч.1 ст.33 Закона о контрактной системе в описании объекта закупки указываются функциональные, технические и качественные характеристики, эксплуатационные характеристики объекта закупки (при необходимости).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ч.2 ст.33 Закона о контрактной системе описание объекта закупки в соответствии с требованиями, указанными в ч.1 ст.33 Закона о контрактной си</w:t>
        <w:softHyphen/>
        <w:t>стеме, должно содержать показатели, позволяющие определить соответствие за</w:t>
        <w:softHyphen/>
        <w:t>купаемых товара, работы, услуги установленным заказчиком требованиям. При этом указываются максимальные и (или) минимальные значения таких показа</w:t>
        <w:softHyphen/>
        <w:t>телей и (или) значения показателей, которые не могут изменяться.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описании объекта закупки Заказ</w:t>
        <w:softHyphen/>
        <w:t>чиком определены требования к необходимым товарам, например по п.1 «Фигура №1»: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  <w:tab w:pos="1439" w:val="left"/>
        </w:tabs>
        <w:bidi w:val="0"/>
        <w:spacing w:before="0" w:after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«Габаритный размер: не менее 7280*4420*1740 мм»</w:t>
      </w:r>
    </w:p>
    <w:p>
      <w:pPr>
        <w:pStyle w:val="Style9"/>
        <w:keepNext w:val="0"/>
        <w:keepLines w:val="0"/>
        <w:widowControl w:val="0"/>
        <w:numPr>
          <w:ilvl w:val="0"/>
          <w:numId w:val="1"/>
        </w:numPr>
        <w:shd w:val="clear" w:color="auto" w:fill="auto"/>
        <w:tabs>
          <w:tab w:pos="1418" w:val="left"/>
          <w:tab w:pos="1439" w:val="left"/>
        </w:tabs>
        <w:bidi w:val="0"/>
        <w:spacing w:before="0" w:after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«Материалы: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40" w:right="0" w:firstLine="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Бетон класса В 40 (м500) Г400 ^12 по ГОСТ 26633-91 - не менее 4,2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м.куб.;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1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Стальные направляющие - не менее 50 кг;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144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ПГС - смесь песка крупного или средней крупности - не менее 40%, щебня или гравия - 60% - не менее 31 м. Куб.;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144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Коэф. уплотнения ПГС не менее 0,95».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п.3 ч.2 ст.42 Закона о контрактной системе извещение об осуществлении закупки, если иное не предусмотрено Законом о контрактной системе, должно содержать требования к содержанию, составу заявки на участие в закупке в соответствии с Законом о контрактной системе и инструкция по ее заполнению. При этом не допускается установление требований, влекущих за собой ограничение количества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Комиссией Управления установлено, что в составе извещения отсутствуют положения, указывающие на правила чтения слов «не менее», «не ниже», «должны быть».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Вместе с тем Комиссия Управления отмечает, что используемые Заказчиком при описании объекта закупки слова «не менее», «не ниже», «должны быть» не допускают двоякого трактования и позволяют однозначно определить требуемые Заказчиком параметры, являются общеупотребительными при описании объекта закупки и не ограничивают количество участников закупки.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Согласно ч.4 ст.106 Закона о контрактной системе участник закупки, подавший жалобу, вправе представить для рассмотрения жалобы по существу информацию и документы, подтверждающие обоснованность доводов жалобы, однако, на заседание Комиссии Управления представитель Заявителя не явился, а в составе жалобы Заявителем не представлено документов и сведений, указывающих на двоякое трактование слов «не менее», «не ниже», «должны быть», используемых Заказчиком при описании объекта закупки, а также доказательств ограничения количества участников закупки при отсутствии правил чтения вышеуказанных слов, ввиду чего у Комиссии Управления отсутствуют правовые основания для признания Заказчика нарушившим положения о Законе о контрактной системе.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Более того, ст.42 Закона о контрактной системе предусмотрена возможность направления запроса о даче разъяснений положений извещения о проведении закупки, однако, Заявитель таким правом не воспользовался.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Таким образом, Комиссия Управления приходит к выводу о необоснованности доводов жалобы.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700"/>
        <w:jc w:val="both"/>
        <w:sectPr>
          <w:footnotePr>
            <w:pos w:val="pageBottom"/>
            <w:numFmt w:val="decimal"/>
            <w:numRestart w:val="continuous"/>
          </w:footnotePr>
          <w:type w:val="continuous"/>
          <w:pgSz w:w="11900" w:h="16840"/>
          <w:pgMar w:top="1442" w:right="737" w:bottom="1440" w:left="1106" w:header="0" w:footer="1012" w:gutter="0"/>
          <w:cols w:space="720"/>
          <w:noEndnote/>
          <w:rtlGutter w:val="0"/>
          <w:docGrid w:linePitch="360"/>
        </w:sectPr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Исследовав представленные материалы, руководствуясь Законом о контрактной системе, Комиссия Управления,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center"/>
      </w:pPr>
      <w:r>
        <w:rPr>
          <w:b/>
          <w:bCs/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РЕШИЛА: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322" w:val="left"/>
        </w:tabs>
        <w:bidi w:val="0"/>
        <w:spacing w:before="0" w:after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1.</w:t>
        <w:tab/>
        <w:t>Признать жалобу ООО «Эфкей-рампс» на действия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ГБУ «Автомобильные дороги ЮВАО» необоснованной.</w:t>
      </w:r>
    </w:p>
    <w:p>
      <w:pPr>
        <w:pStyle w:val="Style9"/>
        <w:keepNext w:val="0"/>
        <w:keepLines w:val="0"/>
        <w:widowControl w:val="0"/>
        <w:shd w:val="clear" w:color="auto" w:fill="auto"/>
        <w:tabs>
          <w:tab w:pos="1322" w:val="left"/>
        </w:tabs>
        <w:bidi w:val="0"/>
        <w:spacing w:before="0" w:after="0" w:line="240" w:lineRule="auto"/>
        <w:ind w:left="0" w:right="0" w:firstLine="70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2.</w:t>
        <w:tab/>
        <w:t>Снять ограничения на определение поставщика, наложенные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00" w:line="240" w:lineRule="auto"/>
        <w:ind w:left="0" w:right="0" w:firstLine="0"/>
        <w:jc w:val="left"/>
      </w:pPr>
      <w:r>
        <w:rPr>
          <w:color w:val="000000"/>
          <w:spacing w:val="0"/>
          <w:w w:val="100"/>
          <w:position w:val="0"/>
          <w:shd w:val="clear" w:color="auto" w:fill="auto"/>
          <w:lang w:val="ru-RU" w:eastAsia="ru-RU" w:bidi="ru-RU"/>
        </w:rPr>
        <w:t>письмом Московским УФАС России.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420" w:line="240" w:lineRule="auto"/>
        <w:ind w:left="0" w:right="0" w:firstLine="0"/>
        <w:jc w:val="left"/>
      </w:pPr>
      <w:r>
        <mc:AlternateContent>
          <mc:Choice Requires="wps">
            <w:drawing>
              <wp:anchor distT="0" distB="496570" distL="114300" distR="114300" simplePos="0" relativeHeight="125829378" behindDoc="0" locked="0" layoutInCell="1" allowOverlap="1">
                <wp:simplePos x="0" y="0"/>
                <wp:positionH relativeFrom="page">
                  <wp:posOffset>5744210</wp:posOffset>
                </wp:positionH>
                <wp:positionV relativeFrom="paragraph">
                  <wp:posOffset>12700</wp:posOffset>
                </wp:positionV>
                <wp:extent cx="1045210" cy="250190"/>
                <wp:wrapSquare wrapText="left"/>
                <wp:docPr id="4" name="Shape 4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104521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С.И. Казарин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0" type="#_x0000_t202" style="position:absolute;margin-left:452.30000000000001pt;margin-top:1.pt;width:82.299999999999997pt;height:19.699999999999999pt;z-index:-125829375;mso-wrap-distance-left:9.pt;mso-wrap-distance-right:9.pt;mso-wrap-distance-bottom:39.10000000000000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С.И. Казарин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mc:AlternateContent>
          <mc:Choice Requires="wps">
            <w:drawing>
              <wp:anchor distT="496570" distB="0" distL="263525" distR="120015" simplePos="0" relativeHeight="125829380" behindDoc="0" locked="0" layoutInCell="1" allowOverlap="1">
                <wp:simplePos x="0" y="0"/>
                <wp:positionH relativeFrom="page">
                  <wp:posOffset>5893435</wp:posOffset>
                </wp:positionH>
                <wp:positionV relativeFrom="paragraph">
                  <wp:posOffset>509270</wp:posOffset>
                </wp:positionV>
                <wp:extent cx="890270" cy="250190"/>
                <wp:wrapSquare wrapText="left"/>
                <wp:docPr id="6" name="Shape 6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ext cx="890270" cy="250190"/>
                        </a:xfrm>
                        <a:prstGeom prst="rect"/>
                        <a:noFill/>
                      </wps:spPr>
                      <wps:txbx>
                        <w:txbxContent>
                          <w:p>
                            <w:pPr>
                              <w:pStyle w:val="Style9"/>
                              <w:keepNext w:val="0"/>
                              <w:keepLines w:val="0"/>
                              <w:widowControl w:val="0"/>
                              <w:shd w:val="clear" w:color="auto" w:fill="auto"/>
                              <w:bidi w:val="0"/>
                              <w:spacing w:before="0" w:after="0" w:line="240" w:lineRule="auto"/>
                              <w:ind w:left="0" w:right="0" w:firstLine="0"/>
                              <w:jc w:val="left"/>
                            </w:pPr>
                            <w:r>
                              <w:rPr>
                                <w:color w:val="1C1C1C"/>
                                <w:spacing w:val="0"/>
                                <w:w w:val="100"/>
                                <w:position w:val="0"/>
                                <w:shd w:val="clear" w:color="auto" w:fill="auto"/>
                                <w:lang w:val="ru-RU" w:eastAsia="ru-RU" w:bidi="ru-RU"/>
                              </w:rPr>
                              <w:t>Э.З. Гугава</w:t>
                            </w:r>
                          </w:p>
                        </w:txbxContent>
                      </wps:txbx>
                      <wps:bodyPr wrap="none" lIns="0" tIns="0" rIns="0" bIns="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id="_x0000_s1032" type="#_x0000_t202" style="position:absolute;margin-left:464.05000000000001pt;margin-top:40.100000000000001pt;width:70.100000000000009pt;height:19.699999999999999pt;z-index:-125829373;mso-wrap-distance-left:20.75pt;mso-wrap-distance-top:39.100000000000001pt;mso-wrap-distance-right:9.4500000000000011pt;mso-position-horizontal-relative:page" filled="f" stroked="f">
                <v:textbox inset="0,0,0,0">
                  <w:txbxContent>
                    <w:p>
                      <w:pPr>
                        <w:pStyle w:val="Style9"/>
                        <w:keepNext w:val="0"/>
                        <w:keepLines w:val="0"/>
                        <w:widowControl w:val="0"/>
                        <w:shd w:val="clear" w:color="auto" w:fill="auto"/>
                        <w:bidi w:val="0"/>
                        <w:spacing w:before="0" w:after="0" w:line="240" w:lineRule="auto"/>
                        <w:ind w:left="0" w:right="0" w:firstLine="0"/>
                        <w:jc w:val="left"/>
                      </w:pPr>
                      <w:r>
                        <w:rPr>
                          <w:color w:val="1C1C1C"/>
                          <w:spacing w:val="0"/>
                          <w:w w:val="100"/>
                          <w:position w:val="0"/>
                          <w:shd w:val="clear" w:color="auto" w:fill="auto"/>
                          <w:lang w:val="ru-RU" w:eastAsia="ru-RU" w:bidi="ru-RU"/>
                        </w:rPr>
                        <w:t>Э.З. Гугава</w:t>
                      </w:r>
                    </w:p>
                  </w:txbxContent>
                </v:textbox>
                <w10:wrap type="square" side="left" anchorx="page"/>
              </v:shape>
            </w:pict>
          </mc:Fallback>
        </mc:AlternateContent>
      </w: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Председательствующий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280" w:line="240" w:lineRule="auto"/>
        <w:ind w:left="0" w:right="0" w:firstLine="0"/>
        <w:jc w:val="lef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Члены Комиссии</w:t>
      </w:r>
    </w:p>
    <w:p>
      <w:pPr>
        <w:pStyle w:val="Style9"/>
        <w:keepNext w:val="0"/>
        <w:keepLines w:val="0"/>
        <w:widowControl w:val="0"/>
        <w:shd w:val="clear" w:color="auto" w:fill="auto"/>
        <w:bidi w:val="0"/>
        <w:spacing w:before="0" w:after="8920" w:line="240" w:lineRule="auto"/>
        <w:ind w:left="0" w:right="380" w:firstLine="0"/>
        <w:jc w:val="right"/>
      </w:pPr>
      <w:r>
        <w:rPr>
          <w:color w:val="1C1C1C"/>
          <w:spacing w:val="0"/>
          <w:w w:val="100"/>
          <w:position w:val="0"/>
          <w:shd w:val="clear" w:color="auto" w:fill="auto"/>
          <w:lang w:val="ru-RU" w:eastAsia="ru-RU" w:bidi="ru-RU"/>
        </w:rPr>
        <w:t>А.А. Матюшенко</w:t>
      </w:r>
    </w:p>
    <w:p>
      <w:pPr>
        <w:pStyle w:val="Style5"/>
        <w:keepNext w:val="0"/>
        <w:keepLines w:val="0"/>
        <w:widowControl w:val="0"/>
        <w:shd w:val="clear" w:color="auto" w:fill="auto"/>
        <w:bidi w:val="0"/>
        <w:spacing w:before="0" w:after="340" w:line="240" w:lineRule="auto"/>
        <w:ind w:left="0" w:right="0" w:firstLine="0"/>
        <w:jc w:val="left"/>
        <w:rPr>
          <w:sz w:val="20"/>
          <w:szCs w:val="20"/>
        </w:rPr>
      </w:pPr>
      <w:r>
        <w:rPr>
          <w:color w:val="000000"/>
          <w:spacing w:val="0"/>
          <w:w w:val="100"/>
          <w:position w:val="0"/>
          <w:sz w:val="20"/>
          <w:szCs w:val="20"/>
          <w:shd w:val="clear" w:color="auto" w:fill="auto"/>
          <w:lang w:val="ru-RU" w:eastAsia="ru-RU" w:bidi="ru-RU"/>
        </w:rPr>
        <w:t>Исп. Матюшенко А.А., 8(495) 784-75-05</w:t>
      </w:r>
    </w:p>
    <w:sectPr>
      <w:footnotePr>
        <w:pos w:val="pageBottom"/>
        <w:numFmt w:val="decimal"/>
        <w:numRestart w:val="continuous"/>
      </w:footnotePr>
      <w:pgSz w:w="11900" w:h="16840"/>
      <w:pgMar w:top="1662" w:right="737" w:bottom="1662" w:left="1106" w:header="0" w:footer="1234" w:gutter="0"/>
      <w:cols w:space="720"/>
      <w:noEndnote/>
      <w:rtlGutter w:val="0"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header1.xml><?xml version="1.0" encoding="utf-8"?>
<w:hdr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p>
    <w:pPr>
      <w:widowControl w:val="0"/>
      <w:spacing w:line="1" w:lineRule="exact"/>
    </w:pPr>
    <w:r>
      <mc:AlternateContent>
        <mc:Choice Requires="wps">
          <w:drawing>
            <wp:anchor distT="0" distB="0" distL="0" distR="0" simplePos="0" relativeHeight="62914690" behindDoc="1" locked="0" layoutInCell="1" allowOverlap="1">
              <wp:simplePos x="0" y="0"/>
              <wp:positionH relativeFrom="page">
                <wp:posOffset>3756660</wp:posOffset>
              </wp:positionH>
              <wp:positionV relativeFrom="page">
                <wp:posOffset>751840</wp:posOffset>
              </wp:positionV>
              <wp:extent cx="52070" cy="100330"/>
              <wp:wrapNone/>
              <wp:docPr id="2" name="Shape 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ext cx="52070" cy="100330"/>
                      </a:xfrm>
                      <a:prstGeom prst="rect"/>
                      <a:noFill/>
                    </wps:spPr>
                    <wps:txbx>
                      <w:txbxContent>
                        <w:p>
                          <w:pPr>
                            <w:pStyle w:val="Style2"/>
                            <w:keepNext w:val="0"/>
                            <w:keepLines w:val="0"/>
                            <w:widowControl w:val="0"/>
                            <w:shd w:val="clear" w:color="auto" w:fill="auto"/>
                            <w:bidi w:val="0"/>
                            <w:spacing w:before="0" w:after="0" w:line="240" w:lineRule="auto"/>
                            <w:ind w:left="0" w:right="0" w:firstLine="0"/>
                            <w:jc w:val="left"/>
                            <w:rPr>
                              <w:sz w:val="24"/>
                              <w:szCs w:val="24"/>
                            </w:rPr>
                          </w:pPr>
                          <w:fldSimple w:instr=" PAGE \* MERGEFORMAT ">
                            <w:r>
                              <w:rPr>
                                <w:color w:val="000000"/>
                                <w:spacing w:val="0"/>
                                <w:w w:val="100"/>
                                <w:position w:val="0"/>
                                <w:sz w:val="24"/>
                                <w:szCs w:val="24"/>
                                <w:shd w:val="clear" w:color="auto" w:fill="auto"/>
                                <w:lang w:val="ru-RU" w:eastAsia="ru-RU" w:bidi="ru-RU"/>
                              </w:rPr>
                              <w:t>#</w:t>
                            </w:r>
                          </w:fldSimple>
                        </w:p>
                      </w:txbxContent>
                    </wps:txbx>
                    <wps:bodyPr wrap="none" lIns="0" tIns="0" rIns="0" bIns="0"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8" type="#_x0000_t202" style="position:absolute;margin-left:295.80000000000001pt;margin-top:59.200000000000003pt;width:4.0999999999999996pt;height:7.9000000000000004pt;z-index:-188744063;mso-wrap-style:none;mso-wrap-distance-left:0;mso-wrap-distance-right:0;mso-position-horizontal-relative:page;mso-position-vertical-relative:page" wrapcoords="0 0" filled="f" stroked="f">
              <v:textbox style="mso-fit-shape-to-text:t" inset="0,0,0,0">
                <w:txbxContent>
                  <w:p>
                    <w:pPr>
                      <w:pStyle w:val="Style2"/>
                      <w:keepNext w:val="0"/>
                      <w:keepLines w:val="0"/>
                      <w:widowControl w:val="0"/>
                      <w:shd w:val="clear" w:color="auto" w:fill="auto"/>
                      <w:bidi w:val="0"/>
                      <w:spacing w:before="0" w:after="0" w:line="240" w:lineRule="auto"/>
                      <w:ind w:left="0" w:right="0" w:firstLine="0"/>
                      <w:jc w:val="left"/>
                      <w:rPr>
                        <w:sz w:val="24"/>
                        <w:szCs w:val="24"/>
                      </w:rPr>
                    </w:pPr>
                    <w:fldSimple w:instr=" PAGE \* MERGEFORMAT ">
                      <w:r>
                        <w:rPr>
                          <w:color w:val="000000"/>
                          <w:spacing w:val="0"/>
                          <w:w w:val="100"/>
                          <w:position w:val="0"/>
                          <w:sz w:val="24"/>
                          <w:szCs w:val="24"/>
                          <w:shd w:val="clear" w:color="auto" w:fill="auto"/>
                          <w:lang w:val="ru-RU" w:eastAsia="ru-RU" w:bidi="ru-RU"/>
                        </w:rPr>
                        <w:t>#</w:t>
                      </w:r>
                    </w:fldSimple>
                  </w:p>
                </w:txbxContent>
              </v:textbox>
              <w10:wrap anchorx="page" anchory="page"/>
            </v:shape>
          </w:pict>
        </mc:Fallback>
      </mc:AlternateContent>
    </w:r>
  </w:p>
</w:hdr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8"/>
        <w:szCs w:val="28"/>
        <w:u w:val="none"/>
        <w:shd w:val="clear" w:color="auto" w:fill="auto"/>
        <w:lang w:val="ru-RU" w:eastAsia="ru-RU" w:bidi="ru-RU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zoom w:val="fullPage"/>
  <w:drawingGridHorizontalSpacing w:val="181"/>
  <w:drawingGridVerticalSpacing w:val="181"/>
  <w:displayHorizontalDrawingGridEvery w:val="1"/>
  <w:displayVerticalDrawingGridEvery w:val="1"/>
  <w:characterSpacingControl w:val="compressPunctuation"/>
  <w:footnotePr>
    <w:pos w:val="pageBottom"/>
    <w:numFmt w:val="decimal"/>
    <w:numRestart w:val="continuous"/>
    <w:footnote w:id="0"/>
    <w:footnote w:id="1"/>
  </w:footnotePr>
  <w:compat>
    <w:doNotExpandShiftReturn/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mc="http://schemas.openxmlformats.org/markup-compatibility/2006" xmlns:wps="http://schemas.microsoft.com/office/word/2010/wordprocessingShape" xmlns:wpg="http://schemas.microsoft.com/office/word/2010/wordprocessingGroup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keepNext w:val="0"/>
        <w:keepLines w:val="0"/>
        <w:widowControl w:val="0"/>
        <w:shd w:val="clear" w:color="auto" w:fill="auto"/>
        <w:bidi w:val="0"/>
        <w:spacing w:before="0" w:after="0" w:line="240" w:lineRule="auto"/>
        <w:ind w:left="0" w:right="0" w:firstLine="0"/>
        <w:jc w:val="left"/>
      </w:pPr>
    </w:pPrDefault>
  </w:docDefaults>
  <w:style w:type="paragraph" w:default="1" w:styleId="Normal">
    <w:name w:val="Normal"/>
    <w:pPr>
      <w:keepNext w:val="0"/>
      <w:keepLines w:val="0"/>
      <w:widowControl w:val="0"/>
      <w:shd w:val="clear" w:color="auto" w:fill="auto"/>
      <w:bidi w:val="0"/>
      <w:spacing w:before="0" w:after="0" w:line="240" w:lineRule="auto"/>
      <w:ind w:left="0" w:right="0" w:firstLine="0"/>
      <w:jc w:val="left"/>
    </w:pPr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default="1" w:styleId="DefaultParagraphFont">
    <w:name w:val="Default Paragraph Font"/>
    <w:rPr>
      <w:rFonts w:ascii="Courier New" w:eastAsia="Courier New" w:hAnsi="Courier New" w:cs="Courier New"/>
      <w:color w:val="000000"/>
      <w:spacing w:val="0"/>
      <w:w w:val="100"/>
      <w:position w:val="0"/>
      <w:sz w:val="24"/>
      <w:szCs w:val="24"/>
      <w:shd w:val="clear" w:color="auto" w:fill="auto"/>
      <w:lang w:val="ru-RU" w:eastAsia="ru-RU" w:bidi="ru-RU"/>
    </w:rPr>
  </w:style>
  <w:style w:type="character" w:customStyle="1" w:styleId="CharStyle3">
    <w:name w:val="Колонтитул (2)_"/>
    <w:basedOn w:val="DefaultParagraphFont"/>
    <w:link w:val="Style2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character" w:customStyle="1" w:styleId="CharStyle6">
    <w:name w:val="Основной текст (2)_"/>
    <w:basedOn w:val="DefaultParagraphFont"/>
    <w:link w:val="Style5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character" w:customStyle="1" w:styleId="CharStyle10">
    <w:name w:val="Основной текст_"/>
    <w:basedOn w:val="DefaultParagraphFont"/>
    <w:link w:val="Style9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character" w:customStyle="1" w:styleId="CharStyle12">
    <w:name w:val="Заголовок №1_"/>
    <w:basedOn w:val="DefaultParagraphFont"/>
    <w:link w:val="Style11"/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  <w:style w:type="paragraph" w:customStyle="1" w:styleId="Style2">
    <w:name w:val="Колонтитул (2)"/>
    <w:basedOn w:val="Normal"/>
    <w:link w:val="CharStyle3"/>
    <w:pPr>
      <w:widowControl w:val="0"/>
      <w:shd w:val="clear" w:color="auto" w:fill="auto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0"/>
      <w:szCs w:val="20"/>
      <w:u w:val="none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auto"/>
      <w:spacing w:after="260"/>
      <w:jc w:val="center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415FA9"/>
      <w:sz w:val="19"/>
      <w:szCs w:val="19"/>
      <w:u w:val="none"/>
    </w:rPr>
  </w:style>
  <w:style w:type="paragraph" w:customStyle="1" w:styleId="Style9">
    <w:name w:val="Основной текст"/>
    <w:basedOn w:val="Normal"/>
    <w:link w:val="CharStyle10"/>
    <w:pPr>
      <w:widowControl w:val="0"/>
      <w:shd w:val="clear" w:color="auto" w:fill="auto"/>
      <w:ind w:firstLine="400"/>
    </w:pPr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sz w:val="28"/>
      <w:szCs w:val="28"/>
      <w:u w:val="none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auto"/>
      <w:spacing w:after="280"/>
      <w:jc w:val="center"/>
      <w:outlineLvl w:val="0"/>
    </w:pPr>
    <w:rPr>
      <w:rFonts w:ascii="Times New Roman" w:eastAsia="Times New Roman" w:hAnsi="Times New Roman" w:cs="Times New Roman"/>
      <w:b/>
      <w:bCs/>
      <w:i w:val="0"/>
      <w:iCs w:val="0"/>
      <w:smallCaps w:val="0"/>
      <w:strike w:val="0"/>
      <w:sz w:val="28"/>
      <w:szCs w:val="28"/>
      <w:u w:val="none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Relationship Id="rId5" Type="http://schemas.openxmlformats.org/officeDocument/2006/relationships/image" Target="media/image1.jpeg"/><Relationship Id="rId6" Type="http://schemas.openxmlformats.org/officeDocument/2006/relationships/image" Target="media/image1.jpeg" TargetMode="External"/><Relationship Id="rId7" Type="http://schemas.openxmlformats.org/officeDocument/2006/relationships/header" Target="header1.xml"/></Relationships>
</file>

<file path=docProps/core.xml><?xml version="1.0" encoding="utf-8"?>
<cp:coreProperties xmlns:cp="http://schemas.openxmlformats.org/package/2006/metadata/core-properties" xmlns:dc="http://purl.org/dc/elements/1.1/">
  <dc:title>Постановление Правительства РФ от 16.11.2015 N 1236(ред. от 28.12.2022)"Об установлении запрета на допуск программного обеспечения, происходящего из иностранных государств, для целей осуществления закупок для обеспечения государственных и муниципальных нужд"(вместе с "Правилами формирования и ведения единого реестра российских программ для электронных вычислительных машин и баз данных и единого реестра программ для электронных вычислительных машин и баз данных из государств - членов Евразийского экономич</dc:title>
  <dc:subject/>
  <dc:creator/>
  <cp:keywords/>
</cp:coreProperties>
</file>