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11810" cy="60960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80" w:line="259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по г. Москве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Мясницкий проезд, д.4, стр. 1</w:t>
        <w:br/>
        <w:t>107078, г. Москва,</w:t>
        <w:br/>
        <w:t>тел. (495) 784-75-05, факс (495) 607-49-29</w:t>
        <w:br/>
        <w:t xml:space="preserve">факс (495) 607-42-92, </w:t>
      </w:r>
      <w:r>
        <w:rPr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е-таП: 1о77@Га8.аоу.ги</w:t>
      </w:r>
    </w:p>
    <w:p>
      <w:pPr>
        <w:pStyle w:val="Style5"/>
        <w:keepNext w:val="0"/>
        <w:keepLines w:val="0"/>
        <w:widowControl w:val="0"/>
        <w:shd w:val="clear" w:color="auto" w:fill="auto"/>
        <w:tabs>
          <w:tab w:leader="underscore" w:pos="1766" w:val="left"/>
          <w:tab w:leader="underscore" w:pos="3926" w:val="left"/>
        </w:tabs>
        <w:bidi w:val="0"/>
        <w:spacing w:before="0" w:line="240" w:lineRule="auto"/>
        <w:ind w:left="0"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ab/>
        <w:t xml:space="preserve"> №</w:t>
        <w:tab/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№  от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ГКУ «Дирекция ЖКХИБ СЗАО»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хакирИ8хао@уапдех.ги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Управа района Южное Тушино города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Москвы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8МагскикА1@то8.ги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«Успех»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таптШ53@дтай.сот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headerReference w:type="default" r:id="rId7"/>
          <w:footnotePr>
            <w:pos w:val="pageBottom"/>
            <w:numFmt w:val="decimal"/>
            <w:numRestart w:val="continuous"/>
          </w:footnotePr>
          <w:pgSz w:w="11900" w:h="16840"/>
          <w:pgMar w:top="1407" w:right="732" w:bottom="1282" w:left="1130" w:header="0" w:footer="854" w:gutter="0"/>
          <w:pgNumType w:start="1"/>
          <w:cols w:num="2" w:space="720" w:equalWidth="0">
            <w:col w:w="4061" w:space="1330"/>
            <w:col w:w="4646"/>
          </w:cols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АО «ЕЭТП»</w:t>
      </w:r>
    </w:p>
    <w:p>
      <w:pPr>
        <w:widowControl w:val="0"/>
        <w:spacing w:line="84" w:lineRule="exact"/>
        <w:rPr>
          <w:sz w:val="7"/>
          <w:szCs w:val="7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442" w:right="0" w:bottom="1248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54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ко@го8екогд.ги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0"/>
        <w:jc w:val="center"/>
        <w:rPr>
          <w:sz w:val="26"/>
          <w:szCs w:val="26"/>
        </w:rPr>
      </w:pPr>
      <w:r>
        <w:rPr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ПРЕДПИСАНИЕ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26"/>
          <w:szCs w:val="26"/>
        </w:rPr>
      </w:pPr>
      <w:r>
        <w:rPr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по делу №</w:t>
      </w:r>
      <w:r>
        <w:rPr>
          <w:b/>
          <w:bCs/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077/06/106-5893/2023 </w:t>
      </w:r>
      <w:r>
        <w:rPr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об устранении нарушении</w:t>
        <w:br/>
        <w:t>законодательства о контрактной системе</w:t>
      </w:r>
    </w:p>
    <w:p>
      <w:pPr>
        <w:pStyle w:val="Style9"/>
        <w:keepNext w:val="0"/>
        <w:keepLines w:val="0"/>
        <w:widowControl w:val="0"/>
        <w:shd w:val="clear" w:color="auto" w:fill="auto"/>
        <w:tabs>
          <w:tab w:pos="8318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04.05.2023</w:t>
        <w:tab/>
        <w:t>г. Москва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 г. Москве по контролю в сфере закупок товаров, работ, услуг (далее - Комиссия Управления) в составе: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Председательствующего: Главного государственного инспектора отдела обжалования государственных закупок С.И. Казарина,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Ведущего специалиста-эксперта отдела обжалования государственных закупок Э.З. Гугава,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720"/>
        <w:jc w:val="both"/>
        <w:rPr>
          <w:sz w:val="26"/>
          <w:szCs w:val="26"/>
        </w:rPr>
      </w:pP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Ведущего специалиста-эксперта отдела обжалования государственных закупок А.А. Матюшенко,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основании решения Комиссии от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04.05.2023 по делу </w:t>
      </w:r>
      <w:r>
        <w:rPr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№077/06/106- 5893/2023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, по итогам рассмотрения жалобы рассмотрев жалобу ООО «Успех» (далее — Заявитель) на действия Управы района Южное Тушино города Москвы (далее — Заказчик) при проведении открытого конкурса в электронной форме на право заключения государственного контракта на оказание услуг по организации и проведению мероприятий в сфере досуговой и социально</w:t>
        <w:softHyphen/>
        <w:t xml:space="preserve">воспитательной работы с населением по месту жительства на территории района Южное Тушино в 2023 году (Закупка № 0373200017323000134) (далее — конкурс, электронный конкурс), в соответствии с Федеральным законом от 05.04.2013 № 44-ФЗ «О контрактной системе в сфере закупок товаров, работ,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услуг для обеспечения государственных и муниципальных нужд» (далее - Закон о контрактной системе),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60" w:line="259" w:lineRule="auto"/>
        <w:ind w:left="0" w:right="0" w:firstLine="0"/>
        <w:jc w:val="center"/>
        <w:rPr>
          <w:sz w:val="26"/>
          <w:szCs w:val="26"/>
        </w:rPr>
      </w:pPr>
      <w:r>
        <w:rPr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ПРЕДПИСЫВАЕТ: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60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Заказчику, комиссии по осуществлению закупок отменить Протокол рассмотрения и оценки вторых частей заявок, Протокол подведения итогов (далее - Протоколы) и назначить новую дату рассмотрения вторых частей заявок на участие в конкурсах. При этом дата рассмотрения вторых частей заявок должна быть назначена не ранее чем через 6 рабочих дней со дня отмены Протоколов.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60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не позднее 1 рабочего дня со дня исполнения пункта 1 настоящего предписания уведомить участников закупки, подавших заявки на участие в конкурсе, в том числе Заявителя, об отмене Протоколов, о новой дате рассмотрения вторых частей заявок на участие в конкурсе, а также о необходимости наличия на счетах для проведения операций по обеспечению участия в конкурсах, открытых участникам закупки, денежных средств в размере обеспечения заявки на участие в конкурсах, о блокировании операций в отношении указанных средств, в случае если в их отношении блокирование прекращено.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60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осуществить блокирование операций по счетам для проведения операций по обеспечению участия в конкурсе, открытых участникам закупки, в отношении денежных средств в размере обеспечения заявки на участие в конкурсе через 4 рабочих дня со дня направления Оператором электронной площадки уведомления, указанного в пункте 2 настоящего предписания.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60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Комиссии по осуществлению закупок рассмотреть вторые части заявок, поданных участниками закупки, в том числе Заявителем, в соответствии с требованиями законодательства Российской Федерации об осуществлении закупок и с учетом решения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 04.05.2023 по делу №077/06/106-5893/2023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60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Заказчику, комиссии по осуществлению закупок, осуществить дальнейшее проведение процедуры определения поставщика (подрядчика, исполнителя) в соответствии с требованиями законодательства Российской Федерации об осуществлении закупок и с учетом решения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 04.05.2023 по делу №077/06/106-5893/2023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60" w:val="left"/>
        </w:tabs>
        <w:bidi w:val="0"/>
        <w:spacing w:before="0" w:after="26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Заказчику, комиссии по осуществлению закупок, Оператору электронной площадки в срок до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04.06.2023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представить в Московское УФАС России подтверждение исполнения настоящего предписания в письменном виде или по факсимильной связи 8(495) 607-42-92), или электронной почте по адресу: </w:t>
      </w:r>
      <w:r>
        <w:rPr>
          <w:b/>
          <w:bCs/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й)77@Та*.доу.ги.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Невыполнение должностным лицом заказчика, должностным лицом уполномоченного органа, должностным лицом уполномоченного учреждения,</w:t>
        <w:br w:type="pag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органа, указанного в ч.7.1 ст.19.5 Кодекса Российской Федерации об административных правонарушениях, влечет наложение административного штрафа на должностных лиц в размере пятидесяти тысяч рублей в соответствии с ч.7 ст.19.5 Кодекса Российской Федерации об административных правонарушениях.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380" w:line="259" w:lineRule="auto"/>
        <w:ind w:left="0" w:right="0" w:firstLine="560"/>
        <w:jc w:val="both"/>
        <w:rPr>
          <w:sz w:val="26"/>
          <w:szCs w:val="26"/>
        </w:rPr>
      </w:pP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 xml:space="preserve">Настоящее предписание </w:t>
      </w:r>
      <w:r>
        <w:rPr>
          <w:b/>
          <w:bCs/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от 04.05.2023 по делу №077/06/106-5893/2023 </w:t>
      </w: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может быть обжаловано в судебном порядке в Арбитражном суде г. Москвы в течение 3 (трех) месяцев с даты его принятия в порядке, установленным главой 24 Арбитражного процессуального кодекса Российской Федерации.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380" w:firstLine="0"/>
        <w:jc w:val="righ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703580</wp:posOffset>
                </wp:positionH>
                <wp:positionV relativeFrom="paragraph">
                  <wp:posOffset>12700</wp:posOffset>
                </wp:positionV>
                <wp:extent cx="1880870" cy="597535"/>
                <wp:wrapSquare wrapText="right"/>
                <wp:docPr id="4" name="Shape 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80870" cy="5975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1C1C1C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Председательствующий</w:t>
                            </w:r>
                          </w:p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1C1C1C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Члены Комиссии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0" type="#_x0000_t202" style="position:absolute;margin-left:55.399999999999999pt;margin-top:1.pt;width:148.09999999999999pt;height:47.050000000000004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1C1C1C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Председательствующий</w:t>
                      </w:r>
                    </w:p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1C1C1C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Члены Комиссии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color w:val="1C1C1C"/>
          <w:spacing w:val="0"/>
          <w:w w:val="100"/>
          <w:position w:val="0"/>
          <w:shd w:val="clear" w:color="auto" w:fill="auto"/>
          <w:lang w:val="ru-RU" w:eastAsia="ru-RU" w:bidi="ru-RU"/>
        </w:rPr>
        <w:t>С.И. Казарин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380" w:firstLine="0"/>
        <w:jc w:val="right"/>
      </w:pPr>
      <w:r>
        <w:rPr>
          <w:color w:val="1C1C1C"/>
          <w:spacing w:val="0"/>
          <w:w w:val="100"/>
          <w:position w:val="0"/>
          <w:shd w:val="clear" w:color="auto" w:fill="auto"/>
          <w:lang w:val="ru-RU" w:eastAsia="ru-RU" w:bidi="ru-RU"/>
        </w:rPr>
        <w:t>Э.З. Гугава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5960" w:line="240" w:lineRule="auto"/>
        <w:ind w:left="0" w:right="380" w:firstLine="0"/>
        <w:jc w:val="right"/>
      </w:pPr>
      <w:r>
        <w:rPr>
          <w:color w:val="1C1C1C"/>
          <w:spacing w:val="0"/>
          <w:w w:val="100"/>
          <w:position w:val="0"/>
          <w:shd w:val="clear" w:color="auto" w:fill="auto"/>
          <w:lang w:val="ru-RU" w:eastAsia="ru-RU" w:bidi="ru-RU"/>
        </w:rPr>
        <w:t>А.А. Матюшенко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320" w:line="230" w:lineRule="auto"/>
        <w:ind w:left="0" w:right="0" w:firstLine="0"/>
        <w:jc w:val="left"/>
        <w:rPr>
          <w:sz w:val="20"/>
          <w:szCs w:val="20"/>
        </w:rPr>
      </w:pP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ru-RU" w:eastAsia="ru-RU" w:bidi="ru-RU"/>
        </w:rPr>
        <w:t>Исп. Матюшенко А.А., 8(495) 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442" w:right="736" w:bottom="1248" w:left="1103" w:header="0" w:footer="820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3756660</wp:posOffset>
              </wp:positionH>
              <wp:positionV relativeFrom="page">
                <wp:posOffset>751840</wp:posOffset>
              </wp:positionV>
              <wp:extent cx="52070" cy="100330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20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295.80000000000001pt;margin-top:59.200000000000003pt;width:4.0999999999999996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Колонтитул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Основной текст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15FA9"/>
      <w:sz w:val="19"/>
      <w:szCs w:val="19"/>
      <w:u w:val="none"/>
    </w:rPr>
  </w:style>
  <w:style w:type="character" w:customStyle="1" w:styleId="CharStyle10">
    <w:name w:val="Основной текст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2">
    <w:name w:val="Колонтитул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Основной текст (2)"/>
    <w:basedOn w:val="Normal"/>
    <w:link w:val="CharStyle6"/>
    <w:pPr>
      <w:widowControl w:val="0"/>
      <w:shd w:val="clear" w:color="auto" w:fill="auto"/>
      <w:spacing w:after="26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15FA9"/>
      <w:sz w:val="19"/>
      <w:szCs w:val="19"/>
      <w:u w:val="none"/>
    </w:rPr>
  </w:style>
  <w:style w:type="paragraph" w:customStyle="1" w:styleId="Style9">
    <w:name w:val="Основной текст"/>
    <w:basedOn w:val="Normal"/>
    <w:link w:val="CharStyle10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/Relationships>
</file>

<file path=docProps/core.xml><?xml version="1.0" encoding="utf-8"?>
<cp:coreProperties xmlns:cp="http://schemas.openxmlformats.org/package/2006/metadata/core-properties" xmlns:dc="http://purl.org/dc/elements/1.1/">
  <dc:title>Постановление Правительства РФ от 16.11.2015 N 1236(ред. от 28.12.2022)"Об установлении запрета на допуск программного обеспечения, происходящего из иностранных государств, для целей осуществления закупок для обеспечения государственных и муниципальных нужд"(вместе с "Правилами формирования и ведения единого реестра российских программ для электронных вычислительных машин и баз данных и единого реестра программ для электронных вычислительных машин и баз данных из государств - членов Евразийского экономич</dc:title>
  <dc:subject/>
  <dc:creator/>
  <cp:keywords/>
</cp:coreProperties>
</file>