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2775" distB="0" distL="114300" distR="114300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625475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1о77@Га8.еоу.ш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49.25pt;width:203.05000000000001pt;height:170.15000000000001pt;z-index:-125829374;mso-wrap-distance-left:9.pt;mso-wrap-distance-top:48.2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1о77@Га8.еоу.ш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«Мосреставрация»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дкитг@то8.ги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«ПСК Ладога»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к^^^ОVа.т^1а@та^1.^и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10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077/06/106-ЭГ4/2023 об устранении нарушении</w:t>
        <w:br/>
        <w:t>законодательства о контрактной системе</w:t>
      </w:r>
    </w:p>
    <w:p>
      <w:pPr>
        <w:pStyle w:val="Style12"/>
        <w:keepNext/>
        <w:keepLines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№077/06/106- ЭГ4/2023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«ПСК Ладога» (далее — Заявитель) на действия ГКУ «Мосреставрация» (далее — Заказчик) при проведении отрытого конкурса в электронной форме на право заключения государственного контракта на разработку проектной документации с выполнением функции технического заказчика на проведение работ по сохранению с приспособлением к современному использованию объекта культурного наследия федерального значения «Церковь Введения в Барашах, 1650 г., 1698-1701 гг.», расположенного по адресу: Барашевский переулок, д. 8/2, стр. 4 (Закупка № 0373200020423000020) (далее — конкурс, электронный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рассмотрения и оценки вторых частей заявок, Протокол подведения итогов (далее - Протоколы) и назначить новую дату рассмотрения вторых частей заявок на участие в конкурсах. При этом дата рассмотрения вторых частей заявок должна быть назначена не ранее чем через 6 рабочих дней со дня отмены Протоколов.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конкурсе, в том числе Заявителя, об отмене Протоколов, о новой дате рассмотрения вторых частей заявок на участие в конкурсе, а также о необходимости наличия на счетах для проведения операций по обеспечению участия в конкурсах, открытых участникам закупки, денежных средств в размере обеспечения заявки на участие в конкурсах,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конкурсе,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вторые части заявок, поданных участниками закупки, в том числе Заявителем, без учета неправомерного требования к участникам закупки о наличии лицензии на монтаж, техническое обслуживание и ремонт первичных средств пожаротушения без возможности привлечения субподрядной организации, а также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№077/06/106-ЭГ4/2023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04.05.2023 по делу №077/06/106-ЭГ4/2023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4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й)77@Та*.доу.ги.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№077/06/106-ЭГ4/2023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640080</wp:posOffset>
                </wp:positionH>
                <wp:positionV relativeFrom="paragraph">
                  <wp:posOffset>12700</wp:posOffset>
                </wp:positionV>
                <wp:extent cx="1859280" cy="45720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.399999999999999pt;margin-top:1.pt;width:146.40000000000001pt;height:36.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7"/>
      <w:footerReference w:type="default" r:id="rId8"/>
      <w:headerReference w:type="firs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034" w:right="539" w:bottom="944" w:left="1104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10131425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2022-73002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50000000000001pt;margin-top:797.7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2022-73002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2022-73002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98.3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2022-73002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Колонтитул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60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Колонтитул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