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022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0225" cy="615950"/>
                    </a:xfrm>
                    <a:prstGeom prst="rect"/>
                  </pic:spPr>
                </pic:pic>
              </a:graphicData>
            </a:graphic>
          </wp:inline>
        </w:drawing>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line="254"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Челябинской области</w:t>
      </w:r>
    </w:p>
    <w:p>
      <w:pPr>
        <w:pStyle w:val="Style5"/>
        <w:keepNext w:val="0"/>
        <w:keepLines w:val="0"/>
        <w:widowControl w:val="0"/>
        <w:shd w:val="clear" w:color="auto" w:fill="auto"/>
        <w:bidi w:val="0"/>
        <w:spacing w:before="0" w:after="0" w:line="276" w:lineRule="auto"/>
        <w:ind w:left="0" w:right="0" w:firstLine="0"/>
        <w:jc w:val="center"/>
      </w:pPr>
      <w:r>
        <w:rPr>
          <w:b w:val="0"/>
          <w:bCs w:val="0"/>
          <w:spacing w:val="0"/>
          <w:w w:val="100"/>
          <w:position w:val="0"/>
          <w:shd w:val="clear" w:color="auto" w:fill="auto"/>
          <w:lang w:val="ru-RU" w:eastAsia="ru-RU" w:bidi="ru-RU"/>
        </w:rPr>
        <w:t>пр. Ленина, 59, г.Чедябинск, 454091</w:t>
        <w:br/>
        <w:t>тел. (351) 263-88-71, факс (351) 263-18-39</w:t>
      </w:r>
    </w:p>
    <w:p>
      <w:pPr>
        <w:pStyle w:val="Style5"/>
        <w:keepNext w:val="0"/>
        <w:keepLines w:val="0"/>
        <w:widowControl w:val="0"/>
        <w:shd w:val="clear" w:color="auto" w:fill="auto"/>
        <w:bidi w:val="0"/>
        <w:spacing w:before="0" w:after="240" w:line="276" w:lineRule="auto"/>
        <w:ind w:left="0" w:right="0" w:firstLine="0"/>
        <w:jc w:val="center"/>
      </w:pPr>
      <w:r>
        <w:rPr>
          <w:b w:val="0"/>
          <w:bCs w:val="0"/>
          <w:spacing w:val="0"/>
          <w:w w:val="100"/>
          <w:position w:val="0"/>
          <w:u w:val="single"/>
          <w:shd w:val="clear" w:color="auto" w:fill="auto"/>
          <w:lang w:val="ru-RU" w:eastAsia="ru-RU" w:bidi="ru-RU"/>
        </w:rPr>
        <w:t>е-таП: 1о74@Та8.еоу.ги</w:t>
      </w:r>
    </w:p>
    <w:p>
      <w:pPr>
        <w:pStyle w:val="Style9"/>
        <w:keepNext/>
        <w:keepLines/>
        <w:widowControl w:val="0"/>
        <w:shd w:val="clear" w:color="auto" w:fill="auto"/>
        <w:tabs>
          <w:tab w:pos="1950" w:val="left"/>
        </w:tabs>
        <w:bidi w:val="0"/>
        <w:spacing w:before="0" w:line="240" w:lineRule="auto"/>
        <w:ind w:left="0" w:right="0"/>
        <w:jc w:val="left"/>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ВЛ/5860/2</w:t>
      </w:r>
      <w:r>
        <w:rPr>
          <w:color w:val="000000"/>
          <w:spacing w:val="0"/>
          <w:w w:val="100"/>
          <w:position w:val="0"/>
          <w:u w:val="none"/>
          <w:shd w:val="clear" w:color="auto" w:fill="auto"/>
          <w:lang w:val="ru-RU" w:eastAsia="ru-RU" w:bidi="ru-RU"/>
        </w:rPr>
        <w:t>3</w:t>
      </w:r>
      <w:bookmarkEnd w:id="0"/>
    </w:p>
    <w:p>
      <w:pPr>
        <w:pStyle w:val="Style5"/>
        <w:keepNext w:val="0"/>
        <w:keepLines w:val="0"/>
        <w:widowControl w:val="0"/>
        <w:shd w:val="clear" w:color="auto" w:fill="auto"/>
        <w:bidi w:val="0"/>
        <w:spacing w:before="0" w:after="620"/>
        <w:ind w:left="0" w:right="0" w:firstLine="0"/>
        <w:jc w:val="both"/>
      </w:pPr>
      <w:r>
        <w:rPr>
          <w:b w:val="0"/>
          <w:bCs w:val="0"/>
          <w:spacing w:val="0"/>
          <w:w w:val="100"/>
          <w:position w:val="0"/>
          <w:shd w:val="clear" w:color="auto" w:fill="auto"/>
          <w:lang w:val="ru-RU" w:eastAsia="ru-RU" w:bidi="ru-RU"/>
        </w:rPr>
        <w:t xml:space="preserve">На №  от</w:t>
      </w:r>
    </w:p>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ООО «АСофт»</w:t>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428038, г. Чебоксары, ул. Академика</w:t>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А.Н. Крылова, д. 5, пом. 7, оф. 34</w:t>
      </w:r>
    </w:p>
    <w:p>
      <w:pPr>
        <w:pStyle w:val="Style15"/>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"mailto:info@asoft21.ru" </w:instrText>
      </w:r>
      <w:r>
        <w:fldChar w:fldCharType="separate"/>
      </w:r>
      <w:r>
        <w:rPr>
          <w:color w:val="000080"/>
          <w:spacing w:val="0"/>
          <w:w w:val="100"/>
          <w:position w:val="0"/>
          <w:sz w:val="28"/>
          <w:szCs w:val="28"/>
          <w:u w:val="single"/>
          <w:shd w:val="clear" w:color="auto" w:fill="auto"/>
          <w:lang w:val="ru-RU" w:eastAsia="ru-RU" w:bidi="ru-RU"/>
        </w:rPr>
        <w:t>тГо@а8ОЙ21.ги</w:t>
      </w:r>
      <w:r>
        <w:fldChar w:fldCharType="end"/>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ГКУ «Центр организации закупок Челябинской области»</w:t>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454084, г. Челябинск, ул. Калинина, д. 21</w:t>
      </w:r>
    </w:p>
    <w:p>
      <w:pPr>
        <w:pStyle w:val="Style15"/>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"mailto:zakup@zakup74.ru" </w:instrText>
      </w:r>
      <w:r>
        <w:fldChar w:fldCharType="separate"/>
      </w:r>
      <w:r>
        <w:rPr>
          <w:color w:val="000080"/>
          <w:spacing w:val="0"/>
          <w:w w:val="100"/>
          <w:position w:val="0"/>
          <w:sz w:val="28"/>
          <w:szCs w:val="28"/>
          <w:u w:val="single"/>
          <w:shd w:val="clear" w:color="auto" w:fill="auto"/>
          <w:lang w:val="ru-RU" w:eastAsia="ru-RU" w:bidi="ru-RU"/>
        </w:rPr>
        <w:t>2акир@гакир74.ш</w:t>
      </w:r>
      <w:r>
        <w:fldChar w:fldCharType="end"/>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Областное государственное бюджетное учреждение «Челябинский региональный центр навигационно - информационных технологий»</w:t>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454091, г. Челябинск, пл. МОПРа, д.8 а, каб. 320</w:t>
      </w:r>
    </w:p>
    <w:p>
      <w:pPr>
        <w:pStyle w:val="Style15"/>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"mailto:info.rcnit@mininform74.ru" </w:instrText>
      </w:r>
      <w:r>
        <w:fldChar w:fldCharType="separate"/>
      </w:r>
      <w:r>
        <w:rPr>
          <w:color w:val="000080"/>
          <w:spacing w:val="0"/>
          <w:w w:val="100"/>
          <w:position w:val="0"/>
          <w:sz w:val="28"/>
          <w:szCs w:val="28"/>
          <w:u w:val="single"/>
          <w:shd w:val="clear" w:color="auto" w:fill="auto"/>
          <w:lang w:val="ru-RU" w:eastAsia="ru-RU" w:bidi="ru-RU"/>
        </w:rPr>
        <w:t>тГо.гст1@,тттГогт74.ги</w:t>
      </w:r>
      <w:r>
        <w:fldChar w:fldCharType="end"/>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АО «Тэк-Торг»</w:t>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119034, город Москва, улица Тимура</w:t>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Фрунзе, 24, комн.31 эт.3</w:t>
      </w:r>
    </w:p>
    <w:p>
      <w:pPr>
        <w:pStyle w:val="Style15"/>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"mailto:help@tektorg.ru" </w:instrText>
      </w:r>
      <w:r>
        <w:fldChar w:fldCharType="separate"/>
      </w:r>
      <w:r>
        <w:rPr>
          <w:color w:val="000080"/>
          <w:spacing w:val="0"/>
          <w:w w:val="100"/>
          <w:position w:val="0"/>
          <w:sz w:val="28"/>
          <w:szCs w:val="28"/>
          <w:u w:val="single"/>
          <w:shd w:val="clear" w:color="auto" w:fill="auto"/>
          <w:lang w:val="ru-RU" w:eastAsia="ru-RU" w:bidi="ru-RU"/>
        </w:rPr>
        <w:t>Ье1р@1ек1огд.ги</w:t>
      </w:r>
      <w:r>
        <w:fldChar w:fldCharType="end"/>
      </w:r>
    </w:p>
    <w:p>
      <w:pPr>
        <w:pStyle w:val="Style15"/>
        <w:keepNext w:val="0"/>
        <w:keepLines w:val="0"/>
        <w:widowControl w:val="0"/>
        <w:shd w:val="clear" w:color="auto" w:fill="auto"/>
        <w:bidi w:val="0"/>
        <w:spacing w:before="0" w:after="0" w:line="240" w:lineRule="auto"/>
        <w:ind w:left="0" w:right="0" w:firstLine="0"/>
        <w:jc w:val="left"/>
        <w:rPr>
          <w:sz w:val="28"/>
          <w:szCs w:val="28"/>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4" w:right="709" w:bottom="1274" w:left="1140" w:header="0" w:footer="3" w:gutter="0"/>
          <w:pgNumType w:start="1"/>
          <w:cols w:num="2" w:space="720" w:equalWidth="0">
            <w:col w:w="4181" w:space="1080"/>
            <w:col w:w="4790"/>
          </w:cols>
          <w:noEndnote/>
          <w:titlePg/>
          <w:rtlGutter w:val="0"/>
          <w:docGrid w:linePitch="360"/>
        </w:sectPr>
      </w:pPr>
      <w:r>
        <w:rPr>
          <w:color w:val="000000"/>
          <w:spacing w:val="0"/>
          <w:w w:val="100"/>
          <w:position w:val="0"/>
          <w:sz w:val="28"/>
          <w:szCs w:val="28"/>
          <w:shd w:val="clear" w:color="auto" w:fill="auto"/>
          <w:lang w:val="ru-RU" w:eastAsia="ru-RU" w:bidi="ru-RU"/>
        </w:rPr>
        <w:t>Комиссии по осуществлению закупок (извещение № 0869200000223003410)</w:t>
      </w:r>
    </w:p>
    <w:p>
      <w:pPr>
        <w:widowControl w:val="0"/>
        <w:spacing w:before="85" w:after="8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45" w:right="0" w:bottom="1214" w:left="0" w:header="0" w:footer="3" w:gutter="0"/>
          <w:cols w:space="720"/>
          <w:noEndnote/>
          <w:rtlGutter w:val="0"/>
          <w:docGrid w:linePitch="360"/>
        </w:sectPr>
      </w:pPr>
    </w:p>
    <w:p>
      <w:pPr>
        <w:pStyle w:val="Style15"/>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 Е Ш Е Н И Е № 074/06/105-1029/2023 (№ 235-ж/2023)</w:t>
      </w:r>
    </w:p>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Челябинск, пр. Ленина, 59</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Резолютивная часть решения оглашена 03 мая 2023 года</w:t>
      </w:r>
    </w:p>
    <w:p>
      <w:pPr>
        <w:pStyle w:val="Style15"/>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В полном объеме решение изготовлено 10 мая 2023 года</w:t>
      </w:r>
    </w:p>
    <w:p>
      <w:pPr>
        <w:pStyle w:val="Style15"/>
        <w:keepNext w:val="0"/>
        <w:keepLines w:val="0"/>
        <w:widowControl w:val="0"/>
        <w:shd w:val="clear" w:color="auto" w:fill="auto"/>
        <w:bidi w:val="0"/>
        <w:spacing w:before="0" w:after="320" w:line="240" w:lineRule="auto"/>
        <w:ind w:left="0" w:right="0" w:firstLine="580"/>
        <w:jc w:val="both"/>
      </w:pPr>
      <w:r>
        <w:rPr>
          <w:color w:val="000000"/>
          <w:spacing w:val="0"/>
          <w:w w:val="100"/>
          <w:position w:val="0"/>
          <w:shd w:val="clear" w:color="auto" w:fill="auto"/>
          <w:lang w:val="ru-RU" w:eastAsia="ru-RU" w:bidi="ru-RU"/>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Overlap w:val="never"/>
        <w:jc w:val="center"/>
        <w:tblLayout w:type="fixed"/>
      </w:tblPr>
      <w:tblGrid>
        <w:gridCol w:w="4272"/>
        <w:gridCol w:w="5981"/>
      </w:tblGrid>
      <w:tr>
        <w:trPr>
          <w:trHeight w:val="1171" w:hRule="exact"/>
        </w:trPr>
        <w:tc>
          <w:tcPr>
            <w:tcBorders/>
            <w:shd w:val="clear" w:color="auto" w:fill="auto"/>
            <w:vAlign w:val="top"/>
          </w:tcPr>
          <w:p>
            <w:pPr>
              <w:pStyle w:val="Style22"/>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ru-RU" w:eastAsia="ru-RU" w:bidi="ru-RU"/>
              </w:rPr>
              <w:t>Председателя Ливончик В.А. Комиссии:</w:t>
            </w:r>
          </w:p>
        </w:tc>
        <w:tc>
          <w:tcPr>
            <w:tcBorders/>
            <w:shd w:val="clear" w:color="auto" w:fill="auto"/>
            <w:vAlign w:val="bottom"/>
          </w:tcPr>
          <w:p>
            <w:pPr>
              <w:pStyle w:val="Style22"/>
              <w:keepNext w:val="0"/>
              <w:keepLines w:val="0"/>
              <w:widowControl w:val="0"/>
              <w:shd w:val="clear" w:color="auto" w:fill="auto"/>
              <w:bidi w:val="0"/>
              <w:spacing w:before="0" w:after="0" w:line="240" w:lineRule="auto"/>
              <w:ind w:left="580" w:right="0" w:hanging="220"/>
              <w:jc w:val="both"/>
            </w:pPr>
            <w:r>
              <w:rPr>
                <w:color w:val="000000"/>
                <w:spacing w:val="0"/>
                <w:w w:val="100"/>
                <w:position w:val="0"/>
                <w:shd w:val="clear" w:color="auto" w:fill="auto"/>
                <w:lang w:val="ru-RU" w:eastAsia="ru-RU" w:bidi="ru-RU"/>
              </w:rPr>
              <w:t>- заместителя руководителя управления - начальника отдела контроля закупок для государственных и муниципальных нужд Челябинского УФАС России;</w:t>
            </w:r>
          </w:p>
        </w:tc>
      </w:tr>
      <w:tr>
        <w:trPr>
          <w:trHeight w:val="1334" w:hRule="exact"/>
        </w:trPr>
        <w:tc>
          <w:tcPr>
            <w:tcBorders/>
            <w:shd w:val="clear" w:color="auto" w:fill="auto"/>
            <w:vAlign w:val="top"/>
          </w:tcPr>
          <w:p>
            <w:pPr>
              <w:pStyle w:val="Style22"/>
              <w:keepNext w:val="0"/>
              <w:keepLines w:val="0"/>
              <w:widowControl w:val="0"/>
              <w:shd w:val="clear" w:color="auto" w:fill="auto"/>
              <w:tabs>
                <w:tab w:pos="2002" w:val="left"/>
              </w:tabs>
              <w:bidi w:val="0"/>
              <w:spacing w:before="0" w:after="0" w:line="240" w:lineRule="auto"/>
              <w:ind w:left="0" w:right="0" w:firstLine="140"/>
              <w:jc w:val="left"/>
            </w:pPr>
            <w:r>
              <w:rPr>
                <w:color w:val="000000"/>
                <w:spacing w:val="0"/>
                <w:w w:val="100"/>
                <w:position w:val="0"/>
                <w:shd w:val="clear" w:color="auto" w:fill="auto"/>
                <w:lang w:val="ru-RU" w:eastAsia="ru-RU" w:bidi="ru-RU"/>
              </w:rPr>
              <w:t>Членов</w:t>
              <w:tab/>
              <w:t>Сарсенбаевой Е.Н.</w:t>
            </w:r>
          </w:p>
          <w:p>
            <w:pPr>
              <w:pStyle w:val="Style22"/>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Комиссии:</w:t>
            </w:r>
          </w:p>
        </w:tc>
        <w:tc>
          <w:tcPr>
            <w:tcBorders/>
            <w:shd w:val="clear" w:color="auto" w:fill="auto"/>
            <w:vAlign w:val="top"/>
          </w:tcPr>
          <w:p>
            <w:pPr>
              <w:pStyle w:val="Style22"/>
              <w:keepNext w:val="0"/>
              <w:keepLines w:val="0"/>
              <w:widowControl w:val="0"/>
              <w:shd w:val="clear" w:color="auto" w:fill="auto"/>
              <w:bidi w:val="0"/>
              <w:spacing w:before="0" w:after="0" w:line="240" w:lineRule="auto"/>
              <w:ind w:left="580" w:right="0" w:hanging="220"/>
              <w:jc w:val="both"/>
            </w:pPr>
            <w:r>
              <w:rPr>
                <w:color w:val="000000"/>
                <w:spacing w:val="0"/>
                <w:w w:val="100"/>
                <w:position w:val="0"/>
                <w:shd w:val="clear" w:color="auto" w:fill="auto"/>
                <w:lang w:val="ru-RU" w:eastAsia="ru-RU" w:bidi="ru-RU"/>
              </w:rPr>
              <w:t>- ведущего специалиста-эксперта отдела контроля закупок для государственных и муниципальных нужд Челябинского УФАС России;</w:t>
            </w:r>
          </w:p>
        </w:tc>
      </w:tr>
    </w:tbl>
    <w:p>
      <w:pPr>
        <w:pStyle w:val="Style15"/>
        <w:keepNext w:val="0"/>
        <w:keepLines w:val="0"/>
        <w:widowControl w:val="0"/>
        <w:shd w:val="clear" w:color="auto" w:fill="auto"/>
        <w:tabs>
          <w:tab w:pos="2621" w:val="left"/>
        </w:tabs>
        <w:bidi w:val="0"/>
        <w:spacing w:before="0" w:after="0" w:line="240" w:lineRule="auto"/>
        <w:ind w:left="0" w:right="160" w:firstLine="0"/>
        <w:jc w:val="right"/>
      </w:pPr>
      <w:r>
        <w:rPr>
          <w:color w:val="000000"/>
          <w:spacing w:val="0"/>
          <w:w w:val="100"/>
          <w:position w:val="0"/>
          <w:shd w:val="clear" w:color="auto" w:fill="auto"/>
          <w:lang w:val="ru-RU" w:eastAsia="ru-RU" w:bidi="ru-RU"/>
        </w:rPr>
        <w:t>Гареевой Д.Ф.</w:t>
        <w:tab/>
        <w:t>- главного специалиста-эксперта отдела</w:t>
      </w:r>
    </w:p>
    <w:p>
      <w:pPr>
        <w:pStyle w:val="Style15"/>
        <w:keepNext w:val="0"/>
        <w:keepLines w:val="0"/>
        <w:widowControl w:val="0"/>
        <w:shd w:val="clear" w:color="auto" w:fill="auto"/>
        <w:bidi w:val="0"/>
        <w:spacing w:before="0" w:after="260" w:line="240" w:lineRule="auto"/>
        <w:ind w:left="4840" w:right="0" w:firstLine="0"/>
        <w:jc w:val="both"/>
      </w:pPr>
      <w:r>
        <w:rPr>
          <w:color w:val="000000"/>
          <w:spacing w:val="0"/>
          <w:w w:val="100"/>
          <w:position w:val="0"/>
          <w:shd w:val="clear" w:color="auto" w:fill="auto"/>
          <w:lang w:val="ru-RU" w:eastAsia="ru-RU" w:bidi="ru-RU"/>
        </w:rPr>
        <w:t>контроля закупок для государственных и муниципальных нужд Челябинского УФАС России,</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руководствуясь частью 15 статьи 99, статьей 106 Федерального закона от 05.04.2013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ООО «АСофт» на положения извещения при проведении электронного аукциона Услуга по модификации автоматизированной системы оперативного мониторинга социально-экономического развития Челябинской области (извещение № 0869200000223003410), в присутствии:</w:t>
      </w:r>
    </w:p>
    <w:p>
      <w:pPr>
        <w:pStyle w:val="Style15"/>
        <w:keepNext w:val="0"/>
        <w:keepLines w:val="0"/>
        <w:widowControl w:val="0"/>
        <w:numPr>
          <w:ilvl w:val="0"/>
          <w:numId w:val="1"/>
        </w:numPr>
        <w:shd w:val="clear" w:color="auto" w:fill="auto"/>
        <w:tabs>
          <w:tab w:pos="245" w:val="left"/>
        </w:tabs>
        <w:bidi w:val="0"/>
        <w:spacing w:before="0" w:after="0" w:line="240" w:lineRule="auto"/>
        <w:ind w:left="0" w:right="0" w:firstLine="0"/>
        <w:jc w:val="both"/>
      </w:pPr>
      <w:r>
        <w:rPr>
          <w:color w:val="000000"/>
          <w:spacing w:val="0"/>
          <w:w w:val="100"/>
          <w:position w:val="0"/>
          <w:shd w:val="clear" w:color="auto" w:fill="auto"/>
          <w:lang w:val="ru-RU" w:eastAsia="ru-RU" w:bidi="ru-RU"/>
        </w:rPr>
        <w:t>представителей Областного государственного бюджетного учреждения «Челябинский региональный центр навигационно - информационных технологий» (далее - заказчик) Филатова И.А., Шафиковой Е.А., Ракецкого А.П., Шамсудиновой Н.А., Меньшиковой Е.В., действующих на основании приказа от 29.07.2022 № 217-лс, доверенностей от 12.01.2023 № 05, 07, от 02.05.2023 № 14, от 03.05.2023 № 15;</w:t>
      </w:r>
    </w:p>
    <w:p>
      <w:pPr>
        <w:pStyle w:val="Style15"/>
        <w:keepNext w:val="0"/>
        <w:keepLines w:val="0"/>
        <w:widowControl w:val="0"/>
        <w:numPr>
          <w:ilvl w:val="0"/>
          <w:numId w:val="1"/>
        </w:numPr>
        <w:shd w:val="clear" w:color="auto" w:fill="auto"/>
        <w:tabs>
          <w:tab w:pos="245" w:val="left"/>
        </w:tabs>
        <w:bidi w:val="0"/>
        <w:spacing w:before="0" w:after="0" w:line="240" w:lineRule="auto"/>
        <w:ind w:left="0" w:right="0" w:firstLine="0"/>
        <w:jc w:val="both"/>
      </w:pPr>
      <w:r>
        <w:rPr>
          <w:color w:val="000000"/>
          <w:spacing w:val="0"/>
          <w:w w:val="100"/>
          <w:position w:val="0"/>
          <w:shd w:val="clear" w:color="auto" w:fill="auto"/>
          <w:lang w:val="ru-RU" w:eastAsia="ru-RU" w:bidi="ru-RU"/>
        </w:rPr>
        <w:t>представителей ГКУ «Центр организации закупок Челябинской области» (далее — уполномоченное учреждение) Пичуговой Т.В., Яковенко Я.А., действующих на основании доверенностей от 11.04.2023 № 04, 07,</w:t>
      </w:r>
    </w:p>
    <w:p>
      <w:pPr>
        <w:pStyle w:val="Style15"/>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в отсутствие представителей ООО «АСофт» (далее - заявитель), надлежащим образом уведомленного о дате и времени заседания Комиссии, в том числе публично, путем размещения информации в единой информационной системе в сфере закупок на официальном сайте</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уулу./акиркрдоу.ги</w:t>
      </w:r>
      <w:r>
        <w:fldChar w:fldCharType="end"/>
      </w:r>
      <w:r>
        <w:rPr>
          <w:color w:val="000000"/>
          <w:spacing w:val="0"/>
          <w:w w:val="100"/>
          <w:position w:val="0"/>
          <w:u w:val="single"/>
          <w:shd w:val="clear" w:color="auto" w:fill="auto"/>
          <w:lang w:val="ru-RU" w:eastAsia="ru-RU" w:bidi="ru-RU"/>
        </w:rPr>
        <w:t>.</w:t>
      </w:r>
    </w:p>
    <w:p>
      <w:pPr>
        <w:pStyle w:val="Style15"/>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 С Т А Н О В И Л А:</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Челябинское УФАС России 27.04.2023 поступила жалоба заявителя на положения извещения при проведении электронного аукциона Услуга по модификации автоматизированной системы оперативного мониторинга социально-экономического развития Челябинской области (извещение № 0869200000223003410) (далее - аукцион, закупка).</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представленным документам извещение о проведении электронного аукциона опубликовано уполномоченным учреждением в единой информационной системе в сфере закупок</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\у\у\у./акирк1. дру.ги</w:t>
      </w:r>
      <w:r>
        <w:rPr>
          <w:color w:val="00008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19.04.2023.</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Начальная (максимальная) цена контракта - 10 500 000,00 рублей.</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момент рассмотрения жалобы контракт по итогам закупки не заключен. Протоколом подведения итогов определения поставщика (подрядчика, исполнителя) по электронному аукциону № 0869200000223003410 от 27.04.2023 закупка признана несостоявшейся в связи с отсутствием заявок.</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Доводы жалобы заключаются в следующем.</w:t>
      </w:r>
    </w:p>
    <w:p>
      <w:pPr>
        <w:pStyle w:val="Style15"/>
        <w:keepNext w:val="0"/>
        <w:keepLines w:val="0"/>
        <w:widowControl w:val="0"/>
        <w:numPr>
          <w:ilvl w:val="0"/>
          <w:numId w:val="3"/>
        </w:numPr>
        <w:shd w:val="clear" w:color="auto" w:fill="auto"/>
        <w:tabs>
          <w:tab w:pos="101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Заказчиком/уполномоченным учреждением в соответствии с пунктом 1.4 Приложения № 4 к извещению «ТРЕБОВАНИЯ К СОДЕРЖАНИЮ, СОСТАВУ ЗАЯВКИ НА УЧАСТИЕ В ЗАКУПКЕ И ИНСТРУКЦИЯ ПО ЕЕ ЗАПОЛНЕНИЮ» неправомерно установлены дополнительные требования к участникам закупки в соответствии с частью 2.1 статьи 31 Закона о контрактной системе.</w:t>
      </w:r>
    </w:p>
    <w:p>
      <w:pPr>
        <w:pStyle w:val="Style15"/>
        <w:keepNext w:val="0"/>
        <w:keepLines w:val="0"/>
        <w:widowControl w:val="0"/>
        <w:numPr>
          <w:ilvl w:val="0"/>
          <w:numId w:val="3"/>
        </w:numPr>
        <w:shd w:val="clear" w:color="auto" w:fill="auto"/>
        <w:tabs>
          <w:tab w:pos="1013" w:val="left"/>
        </w:tabs>
        <w:bidi w:val="0"/>
        <w:spacing w:before="0" w:after="260" w:line="240" w:lineRule="auto"/>
        <w:ind w:left="0" w:right="0" w:firstLine="600"/>
        <w:jc w:val="both"/>
      </w:pPr>
      <w:r>
        <w:rPr>
          <w:color w:val="000000"/>
          <w:spacing w:val="0"/>
          <w:w w:val="100"/>
          <w:position w:val="0"/>
          <w:shd w:val="clear" w:color="auto" w:fill="auto"/>
          <w:lang w:val="ru-RU" w:eastAsia="ru-RU" w:bidi="ru-RU"/>
        </w:rPr>
        <w:t>Пункт 8.2. Приложения № 3 к извещению «Проект контракта» не предусматривает право в соответствии с частью 8.1 статьи 96 Закона о контрактной системе.</w:t>
      </w:r>
    </w:p>
    <w:p>
      <w:pPr>
        <w:pStyle w:val="Style15"/>
        <w:keepNext w:val="0"/>
        <w:keepLines w:val="0"/>
        <w:widowControl w:val="0"/>
        <w:numPr>
          <w:ilvl w:val="0"/>
          <w:numId w:val="3"/>
        </w:numPr>
        <w:shd w:val="clear" w:color="auto" w:fill="auto"/>
        <w:tabs>
          <w:tab w:pos="101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 проекте контракта отсутствует однозначная информация о порядке и сроках осуществления заказчиком приемки оказанной услуги в части соответствия требованиям, установленным контрактом, о порядке и сроках оформления результатов такой приемки.</w:t>
      </w:r>
    </w:p>
    <w:p>
      <w:pPr>
        <w:pStyle w:val="Style15"/>
        <w:keepNext w:val="0"/>
        <w:keepLines w:val="0"/>
        <w:widowControl w:val="0"/>
        <w:numPr>
          <w:ilvl w:val="0"/>
          <w:numId w:val="3"/>
        </w:numPr>
        <w:shd w:val="clear" w:color="auto" w:fill="auto"/>
        <w:tabs>
          <w:tab w:pos="101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Сроки оказания услуг, заявленные заказчиком, не соответствуют сроку действия контракта и выходят за пределы его действия. Исполнитель несет риск оказания услуг за сроком действия контракта, а также риск неоплаты оказанных услуг со стороны заказчика в связи с тем, что согласно извещению 0869200000223003410 финансовое обеспечение закупки в размере 10 500 000,00 рублей предусмотрено в 2023 году.</w:t>
      </w:r>
    </w:p>
    <w:p>
      <w:pPr>
        <w:pStyle w:val="Style15"/>
        <w:keepNext w:val="0"/>
        <w:keepLines w:val="0"/>
        <w:widowControl w:val="0"/>
        <w:numPr>
          <w:ilvl w:val="0"/>
          <w:numId w:val="3"/>
        </w:numPr>
        <w:shd w:val="clear" w:color="auto" w:fill="auto"/>
        <w:tabs>
          <w:tab w:pos="101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Заказчиком при формировании Приложения №1 к извещению Техническое задание на оказание услуги по модификации автоматизированной системы оперативного мониторинга социально-экономического развития Челябинской области нарушены части 8</w:t>
        <w:softHyphen/>
        <w:t>10 статьи 10 Федерального закона от 27.07.2006 № 149-ФЗ «Об информации, информационных технологиях и о защите информации», в части указания требований к реализации функционала модифицированной системы посредством мессенджера Те1едгат.</w:t>
      </w:r>
    </w:p>
    <w:p>
      <w:pPr>
        <w:pStyle w:val="Style15"/>
        <w:keepNext w:val="0"/>
        <w:keepLines w:val="0"/>
        <w:widowControl w:val="0"/>
        <w:numPr>
          <w:ilvl w:val="0"/>
          <w:numId w:val="3"/>
        </w:numPr>
        <w:shd w:val="clear" w:color="auto" w:fill="auto"/>
        <w:tabs>
          <w:tab w:pos="101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 проекте контракта невозможно определить точный гарантийный срок на результаты оказанной услуги и, соответственно, невозможно определить срок исполнения исполнителем гарантийных обязательств для возврата денежных средств в размере 1 050 000 (одного миллиона пятьдесят тысяч) рублей в соответствии с пунктом 8.7. контракта.</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Представители заказчика, уполномоченного учреждения представили письменные пояснения, которые на заседании Комиссии поддержали, и указали следующее.</w:t>
      </w:r>
    </w:p>
    <w:p>
      <w:pPr>
        <w:pStyle w:val="Style15"/>
        <w:keepNext w:val="0"/>
        <w:keepLines w:val="0"/>
        <w:widowControl w:val="0"/>
        <w:numPr>
          <w:ilvl w:val="0"/>
          <w:numId w:val="5"/>
        </w:numPr>
        <w:shd w:val="clear" w:color="auto" w:fill="auto"/>
        <w:tabs>
          <w:tab w:pos="879"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Условия, предусмотренные частью 8.1 статьи 96 Закона о контрактной системе, не являются обязательными для включения в контракт согласно статьи 34 Закона о контрактной системе, а скорее относятся к правилам исключения из порядка предоставления обеспечения гарантийных обязательств.</w:t>
      </w:r>
    </w:p>
    <w:p>
      <w:pPr>
        <w:pStyle w:val="Style15"/>
        <w:keepNext w:val="0"/>
        <w:keepLines w:val="0"/>
        <w:widowControl w:val="0"/>
        <w:numPr>
          <w:ilvl w:val="0"/>
          <w:numId w:val="5"/>
        </w:numPr>
        <w:shd w:val="clear" w:color="auto" w:fill="auto"/>
        <w:tabs>
          <w:tab w:pos="879"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Статьей 94 Закона о контрактной системе предусмотрено право выбора осуществления приемки заказчиком любым из предложенных законодателем способом. Указанные в проекте контракта варианты осуществления приемки не противоречат Закону о контрактной системе. В данном случае учитывая особенности приемки по контракту, заказчиком должен был быть выбран вариант осуществления приемки 10 рабочих дней. В случае создания заказчиком приемочной комиссии срок бы составлял не более 20 (двадцати) рабочих дней.</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Заказчик, руководствуясь положениями статьи 94 Закона о контрактной системе, учитывая особенности конкретной приемки, руководствуясь принципом разумности и добросовестности вправе самостоятельно выбрать способ осуществления приемки оказанных исполнителем услуг по контракту. Срок осуществления заказчиком приемки не должен превышать 20 рабочих дней, следующих за днем поступления заказчику документа о приемки.</w:t>
      </w:r>
    </w:p>
    <w:p>
      <w:pPr>
        <w:pStyle w:val="Style15"/>
        <w:keepNext w:val="0"/>
        <w:keepLines w:val="0"/>
        <w:widowControl w:val="0"/>
        <w:numPr>
          <w:ilvl w:val="0"/>
          <w:numId w:val="5"/>
        </w:numPr>
        <w:shd w:val="clear" w:color="auto" w:fill="auto"/>
        <w:tabs>
          <w:tab w:pos="87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Дата окончания подачи заявок — 27.04.2023, подведение итогов — 27.04.2023; направление проекта контракта исполнителю на подпись — 28.04.2023; подписание заказчиком и заключение контракта — 10.05.2023; исполнение контракта: начало с 11.05.2023; окончание срока 1 этапа — 45 дней на 24.06.2023; окончание срока 2 этапа — 12.12.2023; дни направления исполнителем документа о приемке (3 рабочих дня), сроки приёмки заказчиком (10 рабочих дней (либо не более 20 рабочих дней)), не учитываются при исполнении основного обязательства исполнителем, срок основного обязательства не прерывается исполнителем при исполнении.</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Таким образом, заказчиком требования статьи 33 Закона о контрактной системе не нарушены.</w:t>
      </w:r>
    </w:p>
    <w:p>
      <w:pPr>
        <w:pStyle w:val="Style15"/>
        <w:keepNext w:val="0"/>
        <w:keepLines w:val="0"/>
        <w:widowControl w:val="0"/>
        <w:numPr>
          <w:ilvl w:val="0"/>
          <w:numId w:val="5"/>
        </w:numPr>
        <w:shd w:val="clear" w:color="auto" w:fill="auto"/>
        <w:tabs>
          <w:tab w:pos="92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пункту 9.2 Технического задания напоминания пользователям посредством уведомлений на рабочем столе, а также через мессенджеры Те1едгат и VК Теат§ пересылаются при наступлении следующих событий:</w:t>
      </w:r>
    </w:p>
    <w:p>
      <w:pPr>
        <w:pStyle w:val="Style15"/>
        <w:keepNext w:val="0"/>
        <w:keepLines w:val="0"/>
        <w:widowControl w:val="0"/>
        <w:numPr>
          <w:ilvl w:val="0"/>
          <w:numId w:val="7"/>
        </w:numPr>
        <w:shd w:val="clear" w:color="auto" w:fill="auto"/>
        <w:tabs>
          <w:tab w:pos="78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начался сбор показателя, находящегося в ведении пользователя;</w:t>
      </w:r>
    </w:p>
    <w:p>
      <w:pPr>
        <w:pStyle w:val="Style15"/>
        <w:keepNext w:val="0"/>
        <w:keepLines w:val="0"/>
        <w:widowControl w:val="0"/>
        <w:numPr>
          <w:ilvl w:val="0"/>
          <w:numId w:val="7"/>
        </w:numPr>
        <w:shd w:val="clear" w:color="auto" w:fill="auto"/>
        <w:tabs>
          <w:tab w:pos="78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заполненная форма сбора вернулась на доработку;</w:t>
      </w:r>
    </w:p>
    <w:p>
      <w:pPr>
        <w:pStyle w:val="Style15"/>
        <w:keepNext w:val="0"/>
        <w:keepLines w:val="0"/>
        <w:widowControl w:val="0"/>
        <w:numPr>
          <w:ilvl w:val="0"/>
          <w:numId w:val="7"/>
        </w:numPr>
        <w:shd w:val="clear" w:color="auto" w:fill="auto"/>
        <w:tabs>
          <w:tab w:pos="778"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вышел срок предоставления значений показателя (в случае если форма не заполнена).</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 чего следует, что персональные данные граждан Российской Федерации, данные о переводах денежных средств в рамках применяемых форм безналичных расчетов, сведения, необходимые для осуществления платежей и (или) сведения о счетах (вкладах) граждан Российской Федерации в банках передаваться не будут.</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в действиях заказчика отсутствуют нарушения требований частей 8</w:t>
        <w:softHyphen/>
        <w:t>10 статьи 10 Федерального закона от 27.07.2006 № 149-ФЗ «Об информации, информационных технологиях и о защите информации», а также статьи 33 Закона о контрактной системе.</w:t>
      </w:r>
    </w:p>
    <w:p>
      <w:pPr>
        <w:pStyle w:val="Style15"/>
        <w:keepNext w:val="0"/>
        <w:keepLines w:val="0"/>
        <w:widowControl w:val="0"/>
        <w:numPr>
          <w:ilvl w:val="0"/>
          <w:numId w:val="5"/>
        </w:numPr>
        <w:shd w:val="clear" w:color="auto" w:fill="auto"/>
        <w:tabs>
          <w:tab w:pos="926" w:val="left"/>
        </w:tabs>
        <w:bidi w:val="0"/>
        <w:spacing w:before="0" w:after="260" w:line="240" w:lineRule="auto"/>
        <w:ind w:left="0" w:right="0" w:firstLine="580"/>
        <w:jc w:val="both"/>
      </w:pPr>
      <w:r>
        <w:rPr>
          <w:color w:val="000000"/>
          <w:spacing w:val="0"/>
          <w:w w:val="100"/>
          <w:position w:val="0"/>
          <w:shd w:val="clear" w:color="auto" w:fill="auto"/>
          <w:lang w:val="ru-RU" w:eastAsia="ru-RU" w:bidi="ru-RU"/>
        </w:rPr>
        <w:t>Заказчиком правомерно установлено, что гарантийный срок на результат оказанной услуги по контракту составляет не менее 12 месяцев с даты подписания сторонами документа о приемке. Это означает, что такой срок не может быть меньше 12 месяцев, но гипотетически исполнитель может предложить заказчику установить гарантийный срок в контракте свыше 12 месяцев.</w:t>
      </w:r>
    </w:p>
    <w:p>
      <w:pPr>
        <w:pStyle w:val="Style15"/>
        <w:keepNext w:val="0"/>
        <w:keepLines w:val="0"/>
        <w:widowControl w:val="0"/>
        <w:shd w:val="clear" w:color="auto" w:fill="auto"/>
        <w:bidi w:val="0"/>
        <w:spacing w:before="0" w:after="260" w:line="240" w:lineRule="auto"/>
        <w:ind w:left="0" w:right="0" w:firstLine="580"/>
        <w:jc w:val="both"/>
      </w:pPr>
      <w:r>
        <w:rPr>
          <w:i/>
          <w:iCs/>
          <w:color w:val="000000"/>
          <w:spacing w:val="0"/>
          <w:w w:val="100"/>
          <w:position w:val="0"/>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пришла к следующим выводам,</w:t>
      </w:r>
    </w:p>
    <w:p>
      <w:pPr>
        <w:pStyle w:val="Style15"/>
        <w:keepNext w:val="0"/>
        <w:keepLines w:val="0"/>
        <w:widowControl w:val="0"/>
        <w:numPr>
          <w:ilvl w:val="0"/>
          <w:numId w:val="9"/>
        </w:numPr>
        <w:shd w:val="clear" w:color="auto" w:fill="auto"/>
        <w:tabs>
          <w:tab w:pos="92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 силу пункта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Частью 2.1 статьи 31 Закона о контрактной системе предусмотрено, что </w:t>
      </w:r>
      <w:r>
        <w:rPr>
          <w:color w:val="000000"/>
          <w:spacing w:val="0"/>
          <w:w w:val="100"/>
          <w:position w:val="0"/>
          <w:u w:val="single"/>
          <w:shd w:val="clear" w:color="auto" w:fill="auto"/>
          <w:lang w:val="ru-RU" w:eastAsia="ru-RU" w:bidi="ru-RU"/>
        </w:rPr>
        <w:t>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w:t>
      </w:r>
      <w:r>
        <w:rPr>
          <w:color w:val="000000"/>
          <w:spacing w:val="0"/>
          <w:w w:val="100"/>
          <w:position w:val="0"/>
          <w:shd w:val="clear" w:color="auto" w:fill="auto"/>
          <w:lang w:val="ru-RU" w:eastAsia="ru-RU" w:bidi="ru-RU"/>
        </w:rPr>
        <w:t xml:space="preserve">,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w:t>
      </w:r>
      <w:r>
        <w:rPr>
          <w:color w:val="000000"/>
          <w:spacing w:val="0"/>
          <w:w w:val="100"/>
          <w:position w:val="0"/>
          <w:shd w:val="clear" w:color="auto" w:fill="auto"/>
          <w:lang w:val="ru-RU" w:eastAsia="ru-RU" w:bidi="ru-RU"/>
        </w:rPr>
        <w:t>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пунктом 3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виде электронного документа требования к содержанию, составу заявки на участие в закупке в соответствии с настоящим Федеральным законом и инструкция по ее заполнению.</w:t>
      </w:r>
    </w:p>
    <w:p>
      <w:pPr>
        <w:pStyle w:val="Style15"/>
        <w:keepNext w:val="0"/>
        <w:keepLines w:val="0"/>
        <w:widowControl w:val="0"/>
        <w:shd w:val="clear" w:color="auto" w:fill="auto"/>
        <w:bidi w:val="0"/>
        <w:spacing w:before="0" w:after="260" w:line="240" w:lineRule="auto"/>
        <w:ind w:left="0" w:right="0" w:firstLine="560"/>
        <w:jc w:val="both"/>
      </w:pPr>
      <w:r>
        <w:rPr>
          <w:color w:val="000000"/>
          <w:spacing w:val="0"/>
          <w:w w:val="100"/>
          <w:position w:val="0"/>
          <w:shd w:val="clear" w:color="auto" w:fill="auto"/>
          <w:lang w:val="ru-RU" w:eastAsia="ru-RU" w:bidi="ru-RU"/>
        </w:rPr>
        <w:t>Приложением №4 к извещению являются «ТРЕБОВАНИЯ К СОДЕРЖАНИЮ, СОСТАВУ ЗАЯВКИ НА УЧАСТИЕ В ЗАКУПКЕ И ИНСТРУКЦИЯ ПО ЕЕ ЗАПОЛНЕНИЮ», согласно пункту 1.4 которых:</w:t>
      </w:r>
    </w:p>
    <w:tbl>
      <w:tblPr>
        <w:tblOverlap w:val="never"/>
        <w:jc w:val="center"/>
        <w:tblLayout w:type="fixed"/>
      </w:tblPr>
      <w:tblGrid>
        <w:gridCol w:w="682"/>
        <w:gridCol w:w="4488"/>
        <w:gridCol w:w="5045"/>
      </w:tblGrid>
      <w:tr>
        <w:trPr>
          <w:trHeight w:val="6365" w:hRule="exact"/>
        </w:trPr>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1.4</w:t>
            </w:r>
          </w:p>
        </w:tc>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both"/>
              <w:rPr>
                <w:sz w:val="24"/>
                <w:szCs w:val="24"/>
              </w:rPr>
            </w:pPr>
            <w:r>
              <w:rPr>
                <w:b/>
                <w:bCs/>
                <w:color w:val="000000"/>
                <w:spacing w:val="0"/>
                <w:w w:val="100"/>
                <w:position w:val="0"/>
                <w:sz w:val="24"/>
                <w:szCs w:val="24"/>
                <w:shd w:val="clear" w:color="auto" w:fill="auto"/>
                <w:lang w:val="ru-RU" w:eastAsia="ru-RU" w:bidi="ru-RU"/>
              </w:rPr>
              <w:t>Дополнительные требования к участникам закупки, установленные в соответствии с частью 2.1 статьи 31 Закона:</w:t>
            </w:r>
          </w:p>
          <w:p>
            <w:pPr>
              <w:pStyle w:val="Style22"/>
              <w:keepNext w:val="0"/>
              <w:keepLines w:val="0"/>
              <w:widowControl w:val="0"/>
              <w:shd w:val="clear" w:color="auto" w:fill="auto"/>
              <w:tabs>
                <w:tab w:pos="691" w:val="left"/>
                <w:tab w:pos="2597" w:val="left"/>
              </w:tabs>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w:t>
              <w:tab/>
              <w:t>установлено</w:t>
              <w:tab/>
              <w:t>дополнительное</w:t>
            </w:r>
          </w:p>
          <w:p>
            <w:pPr>
              <w:pStyle w:val="Style22"/>
              <w:keepNext w:val="0"/>
              <w:keepLines w:val="0"/>
              <w:widowControl w:val="0"/>
              <w:shd w:val="clear" w:color="auto" w:fill="auto"/>
              <w:tabs>
                <w:tab w:pos="1594" w:val="left"/>
                <w:tab w:pos="3749" w:val="left"/>
              </w:tabs>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 xml:space="preserve">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w:t>
            </w:r>
            <w:r>
              <w:fldChar w:fldCharType="begin"/>
            </w:r>
            <w:r>
              <w:rPr/>
              <w:instrText> HYPERLINK "https://internet.garant.ru/%23/document/12188083/entry/0" </w:instrText>
            </w:r>
            <w:r>
              <w:fldChar w:fldCharType="separate"/>
            </w:r>
            <w:r>
              <w:rPr>
                <w:color w:val="0000FF"/>
                <w:spacing w:val="0"/>
                <w:w w:val="100"/>
                <w:position w:val="0"/>
                <w:sz w:val="24"/>
                <w:szCs w:val="24"/>
                <w:u w:val="single"/>
                <w:shd w:val="clear" w:color="auto" w:fill="auto"/>
                <w:lang w:val="ru-RU" w:eastAsia="ru-RU" w:bidi="ru-RU"/>
              </w:rPr>
              <w:t>Федеральным законом</w:t>
            </w:r>
            <w:r>
              <w:fldChar w:fldCharType="end"/>
            </w:r>
            <w:r>
              <w:rPr>
                <w:color w:val="0000FF"/>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w:t>
              <w:tab/>
              <w:t>(максимальной)</w:t>
              <w:tab/>
              <w:t>цены</w:t>
            </w:r>
          </w:p>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контракта.</w:t>
            </w:r>
          </w:p>
        </w:tc>
        <w:tc>
          <w:tcPr>
            <w:tcBorders>
              <w:top w:val="single" w:sz="4"/>
              <w:left w:val="single" w:sz="4"/>
              <w:bottom w:val="single" w:sz="4"/>
              <w:right w:val="single" w:sz="4"/>
            </w:tcBorders>
            <w:shd w:val="clear" w:color="auto" w:fill="auto"/>
            <w:vAlign w:val="top"/>
          </w:tcPr>
          <w:p>
            <w:pPr>
              <w:pStyle w:val="Style22"/>
              <w:keepNext w:val="0"/>
              <w:keepLines w:val="0"/>
              <w:widowControl w:val="0"/>
              <w:shd w:val="clear" w:color="auto" w:fill="auto"/>
              <w:tabs>
                <w:tab w:pos="1690" w:val="left"/>
                <w:tab w:pos="3086" w:val="left"/>
              </w:tabs>
              <w:bidi w:val="0"/>
              <w:spacing w:before="0" w:after="0" w:line="240" w:lineRule="auto"/>
              <w:ind w:left="0" w:right="0" w:firstLine="0"/>
              <w:jc w:val="both"/>
              <w:rPr>
                <w:sz w:val="24"/>
                <w:szCs w:val="24"/>
              </w:rPr>
            </w:pPr>
            <w:r>
              <w:rPr>
                <w:i/>
                <w:iCs/>
                <w:color w:val="000000"/>
                <w:spacing w:val="0"/>
                <w:w w:val="100"/>
                <w:position w:val="0"/>
                <w:sz w:val="24"/>
                <w:szCs w:val="24"/>
                <w:shd w:val="clear" w:color="auto" w:fill="auto"/>
                <w:lang w:val="ru-RU" w:eastAsia="ru-RU" w:bidi="ru-RU"/>
              </w:rPr>
              <w:t>Документы, подтверждающие соответствие участника</w:t>
              <w:tab/>
              <w:t>закупки</w:t>
              <w:tab/>
              <w:t>дополнительным</w:t>
            </w:r>
          </w:p>
          <w:p>
            <w:pPr>
              <w:pStyle w:val="Style22"/>
              <w:keepNext w:val="0"/>
              <w:keepLines w:val="0"/>
              <w:widowControl w:val="0"/>
              <w:shd w:val="clear" w:color="auto" w:fill="auto"/>
              <w:tabs>
                <w:tab w:pos="2218" w:val="left"/>
                <w:tab w:pos="4690" w:val="left"/>
              </w:tabs>
              <w:bidi w:val="0"/>
              <w:spacing w:before="0" w:after="0" w:line="240" w:lineRule="auto"/>
              <w:ind w:left="0" w:right="0" w:firstLine="0"/>
              <w:jc w:val="both"/>
              <w:rPr>
                <w:sz w:val="24"/>
                <w:szCs w:val="24"/>
              </w:rPr>
            </w:pPr>
            <w:r>
              <w:rPr>
                <w:i/>
                <w:iCs/>
                <w:color w:val="000000"/>
                <w:spacing w:val="0"/>
                <w:w w:val="100"/>
                <w:position w:val="0"/>
                <w:sz w:val="24"/>
                <w:szCs w:val="24"/>
                <w:shd w:val="clear" w:color="auto" w:fill="auto"/>
                <w:lang w:val="ru-RU" w:eastAsia="ru-RU" w:bidi="ru-RU"/>
              </w:rPr>
              <w:t>требованиям,</w:t>
              <w:tab/>
              <w:t>установленным</w:t>
              <w:tab/>
              <w:t>в</w:t>
            </w:r>
          </w:p>
          <w:p>
            <w:pPr>
              <w:pStyle w:val="Style22"/>
              <w:keepNext w:val="0"/>
              <w:keepLines w:val="0"/>
              <w:widowControl w:val="0"/>
              <w:shd w:val="clear" w:color="auto" w:fill="auto"/>
              <w:tabs>
                <w:tab w:pos="773" w:val="left"/>
                <w:tab w:pos="2194" w:val="left"/>
                <w:tab w:pos="3970" w:val="left"/>
              </w:tabs>
              <w:bidi w:val="0"/>
              <w:spacing w:before="0" w:after="0" w:line="240" w:lineRule="auto"/>
              <w:ind w:left="0" w:right="0" w:firstLine="0"/>
              <w:jc w:val="both"/>
              <w:rPr>
                <w:sz w:val="24"/>
                <w:szCs w:val="24"/>
              </w:rPr>
            </w:pPr>
            <w:r>
              <w:rPr>
                <w:i/>
                <w:iCs/>
                <w:color w:val="000000"/>
                <w:spacing w:val="0"/>
                <w:w w:val="100"/>
                <w:position w:val="0"/>
                <w:sz w:val="24"/>
                <w:szCs w:val="24"/>
                <w:shd w:val="clear" w:color="auto" w:fill="auto"/>
                <w:lang w:val="ru-RU" w:eastAsia="ru-RU" w:bidi="ru-RU"/>
              </w:rPr>
              <w:t>соответствии с частью 2.1 статьи 31 Закона, и предусмотренные подпунктом "н" пункта 2.1 раздела II, не включаются участником закупки в заявку на участие в закупке. Такие документы направляются (по состоянию на дату и время их направления) заказчику оператором электронной площадки из</w:t>
              <w:tab/>
              <w:t>реестра</w:t>
              <w:tab/>
              <w:t>участников</w:t>
              <w:tab/>
              <w:t>закупок,</w:t>
            </w:r>
          </w:p>
          <w:p>
            <w:pPr>
              <w:pStyle w:val="Style22"/>
              <w:keepNext w:val="0"/>
              <w:keepLines w:val="0"/>
              <w:widowControl w:val="0"/>
              <w:shd w:val="clear" w:color="auto" w:fill="auto"/>
              <w:bidi w:val="0"/>
              <w:spacing w:before="0" w:after="0" w:line="240" w:lineRule="auto"/>
              <w:ind w:left="0" w:right="0" w:firstLine="0"/>
              <w:jc w:val="both"/>
              <w:rPr>
                <w:sz w:val="24"/>
                <w:szCs w:val="24"/>
              </w:rPr>
            </w:pPr>
            <w:r>
              <w:rPr>
                <w:i/>
                <w:iCs/>
                <w:color w:val="000000"/>
                <w:spacing w:val="0"/>
                <w:w w:val="100"/>
                <w:position w:val="0"/>
                <w:sz w:val="24"/>
                <w:szCs w:val="24"/>
                <w:shd w:val="clear" w:color="auto" w:fill="auto"/>
                <w:lang w:val="ru-RU" w:eastAsia="ru-RU" w:bidi="ru-RU"/>
              </w:rPr>
              <w:t>аккредитованных на электронной площадке.</w:t>
            </w:r>
          </w:p>
        </w:tc>
      </w:tr>
    </w:tbl>
    <w:p>
      <w:pPr>
        <w:widowControl w:val="0"/>
        <w:spacing w:after="259" w:line="1" w:lineRule="exact"/>
      </w:pP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Вместе с тем, согласно печатной форме извещения, опубликованного в единой информационной системе, начальная (максимальная) цена контракта составляет 10 500 000,00 рублей.</w:t>
      </w:r>
    </w:p>
    <w:p>
      <w:pPr>
        <w:pStyle w:val="Style15"/>
        <w:keepNext w:val="0"/>
        <w:keepLines w:val="0"/>
        <w:widowControl w:val="0"/>
        <w:shd w:val="clear" w:color="auto" w:fill="auto"/>
        <w:bidi w:val="0"/>
        <w:spacing w:before="0" w:after="260" w:line="240" w:lineRule="auto"/>
        <w:ind w:left="0" w:right="0" w:firstLine="560"/>
        <w:jc w:val="both"/>
      </w:pPr>
      <w:r>
        <w:rPr>
          <w:color w:val="000000"/>
          <w:spacing w:val="0"/>
          <w:w w:val="100"/>
          <w:position w:val="0"/>
          <w:shd w:val="clear" w:color="auto" w:fill="auto"/>
          <w:lang w:val="ru-RU" w:eastAsia="ru-RU" w:bidi="ru-RU"/>
        </w:rPr>
        <w:t>Таким образом, требования к участникам закупки, установленные в пункте 1.4 Приложения № 4, которое является неотъемлемым приложением к извещению, противоречат положениям части 2.1 статьи 31, пункта 12 части 1, пункта 3 части 2 статьи 42 Закона о контрактной системе.</w:t>
      </w:r>
    </w:p>
    <w:p>
      <w:pPr>
        <w:pStyle w:val="Style15"/>
        <w:keepNext w:val="0"/>
        <w:keepLines w:val="0"/>
        <w:widowControl w:val="0"/>
        <w:numPr>
          <w:ilvl w:val="0"/>
          <w:numId w:val="9"/>
        </w:numPr>
        <w:shd w:val="clear" w:color="auto" w:fill="auto"/>
        <w:tabs>
          <w:tab w:pos="926"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пункту 1 части 13 статьи 34 Закона о контрактной системе в контракт включаются обязательные условия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статьей 96 Закона о контрактной системе требования обеспечения гарантийных обязательств.</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В соответствии с частью 2.2 статьи 96 Закона о контрактной системе заказчик вправе установить в извещении об осуществлении закупки, документации о закупке, проекте </w:t>
      </w:r>
      <w:r>
        <w:rPr>
          <w:color w:val="000000"/>
          <w:spacing w:val="0"/>
          <w:w w:val="100"/>
          <w:position w:val="0"/>
          <w:shd w:val="clear" w:color="auto" w:fill="auto"/>
          <w:lang w:val="ru-RU" w:eastAsia="ru-RU" w:bidi="ru-RU"/>
        </w:rPr>
        <w:t>контракта, приглашении требование обеспечения гарантийных обязательств в случае установления требований к таким обязательствам в соответствии с частью 4 статьи 33 Закона о контрактной системе. Размер обеспечения гарантийных обязательств не может превышать десять процентов от начальной (максимальной) цены контракта, от цены контракта, заключаемого с единственным поставщиком (подрядчиком, исполнителем).</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Исполнение контракта, гарантийные обязательства могут обеспечиваться предоставлением независимой гарантии, соответствующей требованиям статьи 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(часть 3 статьи 96 Закона о контрактной системе).</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извещению об осуществлении закупки размер обеспечения гарантийных обязательств составляет 1 050 000,00 рублей.</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Кроме того, как следует из содержания извещения, при проведении закупки установлено преимущество в соответствии с частью 3 статьи 30 Закона о контрактной системе.</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Частью 8.1 статьи 96 Закона о контрактной системе предусмотрено, что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настоящего Федерального закона, освобождается от предоставления обеспечения исполнения контракта, в том числе с учетом положений статьи 37 настоящего Федерального закона, </w:t>
      </w:r>
      <w:r>
        <w:rPr>
          <w:color w:val="000000"/>
          <w:spacing w:val="0"/>
          <w:w w:val="100"/>
          <w:position w:val="0"/>
          <w:u w:val="single"/>
          <w:shd w:val="clear" w:color="auto" w:fill="auto"/>
          <w:lang w:val="ru-RU" w:eastAsia="ru-RU" w:bidi="ru-RU"/>
        </w:rPr>
        <w:t>от обеспечения гарантийных обязательств</w:t>
      </w:r>
      <w:r>
        <w:rPr>
          <w:color w:val="000000"/>
          <w:spacing w:val="0"/>
          <w:w w:val="100"/>
          <w:position w:val="0"/>
          <w:shd w:val="clear" w:color="auto" w:fill="auto"/>
          <w:lang w:val="ru-RU" w:eastAsia="ru-RU" w:bidi="ru-RU"/>
        </w:rPr>
        <w:t xml:space="preserve">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Пунктом 8.2 проекта контракта установлено, что:</w:t>
      </w:r>
    </w:p>
    <w:p>
      <w:pPr>
        <w:pStyle w:val="Style15"/>
        <w:keepNext w:val="0"/>
        <w:keepLines w:val="0"/>
        <w:widowControl w:val="0"/>
        <w:shd w:val="clear" w:color="auto" w:fill="auto"/>
        <w:bidi w:val="0"/>
        <w:spacing w:before="0" w:after="0" w:line="240" w:lineRule="auto"/>
        <w:ind w:left="0" w:right="0" w:firstLine="600"/>
        <w:jc w:val="both"/>
      </w:pPr>
      <w:r>
        <w:rPr>
          <w:i/>
          <w:iCs/>
          <w:color w:val="000000"/>
          <w:spacing w:val="0"/>
          <w:w w:val="100"/>
          <w:position w:val="0"/>
          <w:shd w:val="clear" w:color="auto" w:fill="auto"/>
          <w:lang w:val="ru-RU" w:eastAsia="ru-RU" w:bidi="ru-RU"/>
        </w:rPr>
        <w:t>«Участник закупки, с которым заключается настоящий контракт по результатам определения Подрядчика в соответствии с п. 1 ч. 1 ст. 30 Закона о контрактной системе, освобождается от предоставления обеспечения исполнения настоящего контракта, в том числе с учетом положений ст. 37 Закона о контрактной 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договоров (контрактов), исполненных без применения к такому участнику неустоек (штрафов, пеней). Такая информация представляется участником закупки до заключения настоящего контракта. При этом сумма цен таких договоров (контрактов) должна составлять не менее начальной (максимальной) цены контакта, указанной в извещении об осуществлении закупки и документации о закупке».</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Челябинского УФАС России отмечает, что положения части 8.1 статьи 96 Закона о контрактной системе процитированы заказчиком в пункте 8.2 проекта контракта не в актуальной редакции Закона о контрактной системе.</w:t>
      </w:r>
    </w:p>
    <w:p>
      <w:pPr>
        <w:pStyle w:val="Style15"/>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Между тем, антимонопольный орган обращает внимание заявителя, что применение нормы части 8.1 статьи 96 Закона о контрактной системе не зависит от ее включения или невключения в проект контракта, данная норма действует в силу закона.</w:t>
      </w:r>
    </w:p>
    <w:p>
      <w:pPr>
        <w:pStyle w:val="Style15"/>
        <w:keepNext w:val="0"/>
        <w:keepLines w:val="0"/>
        <w:widowControl w:val="0"/>
        <w:numPr>
          <w:ilvl w:val="0"/>
          <w:numId w:val="9"/>
        </w:numPr>
        <w:shd w:val="clear" w:color="auto" w:fill="auto"/>
        <w:tabs>
          <w:tab w:pos="88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пункту 1 части 13 статьи 34 Закона о контрактной системе в контракт включаются обязательные условия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пунктом 1 части 1 статьи 94 Закона о контрактной системе исполнение контракта включает в себя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 (части 6 статьи 94 Закона о контрактной системе).</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части 7 статьи 94 Закона о контрактной системе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Пунктами 4, 5 части 13 статьи 94 Закона о контрактной системе предусмотрено, что при исполнении контракта, заключенного по результатам проведения электронных процедур, закрытых электронных процедур:</w:t>
      </w:r>
    </w:p>
    <w:p>
      <w:pPr>
        <w:pStyle w:val="Style15"/>
        <w:keepNext w:val="0"/>
        <w:keepLines w:val="0"/>
        <w:widowControl w:val="0"/>
        <w:numPr>
          <w:ilvl w:val="0"/>
          <w:numId w:val="9"/>
        </w:numPr>
        <w:shd w:val="clear" w:color="auto" w:fill="auto"/>
        <w:tabs>
          <w:tab w:pos="898" w:val="left"/>
        </w:tabs>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в срок, установленный контрактом, </w:t>
      </w:r>
      <w:r>
        <w:rPr>
          <w:color w:val="000000"/>
          <w:spacing w:val="0"/>
          <w:w w:val="100"/>
          <w:position w:val="0"/>
          <w:u w:val="single"/>
          <w:shd w:val="clear" w:color="auto" w:fill="auto"/>
          <w:lang w:val="ru-RU" w:eastAsia="ru-RU" w:bidi="ru-RU"/>
        </w:rPr>
        <w:t xml:space="preserve">но не позднее двадцати рабочих дней, </w:t>
      </w:r>
      <w:r>
        <w:rPr>
          <w:color w:val="000000"/>
          <w:spacing w:val="0"/>
          <w:w w:val="100"/>
          <w:position w:val="0"/>
          <w:shd w:val="clear" w:color="auto" w:fill="auto"/>
          <w:lang w:val="ru-RU" w:eastAsia="ru-RU" w:bidi="ru-RU"/>
        </w:rPr>
        <w:t>следующих за днем поступления документа о приемке в соответствии с пунктом 3 настоящей части, заказчик (за исключением случая создания приемочной комиссии в соответствии с частью 6 настоящей статьи) осуществляет одно из следующих действий:</w:t>
      </w:r>
    </w:p>
    <w:p>
      <w:pPr>
        <w:pStyle w:val="Style15"/>
        <w:keepNext w:val="0"/>
        <w:keepLines w:val="0"/>
        <w:widowControl w:val="0"/>
        <w:numPr>
          <w:ilvl w:val="0"/>
          <w:numId w:val="11"/>
        </w:numPr>
        <w:shd w:val="clear" w:color="auto" w:fill="auto"/>
        <w:tabs>
          <w:tab w:pos="88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pPr>
        <w:pStyle w:val="Style15"/>
        <w:keepNext w:val="0"/>
        <w:keepLines w:val="0"/>
        <w:widowControl w:val="0"/>
        <w:numPr>
          <w:ilvl w:val="0"/>
          <w:numId w:val="11"/>
        </w:numPr>
        <w:shd w:val="clear" w:color="auto" w:fill="auto"/>
        <w:tabs>
          <w:tab w:pos="908" w:val="left"/>
        </w:tabs>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w:t>
      </w:r>
      <w:r>
        <w:rPr>
          <w:color w:val="000000"/>
          <w:spacing w:val="0"/>
          <w:w w:val="100"/>
          <w:position w:val="0"/>
          <w:shd w:val="clear" w:color="auto" w:fill="auto"/>
          <w:lang w:val="ru-RU" w:eastAsia="ru-RU" w:bidi="ru-RU"/>
        </w:rPr>
        <w:t>и размещает в единой информационной системе мотивированный отказ от подписания документа о приемке с указанием причин такого отказа;</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5) в случае создания в соответствии с частью 6 настоящей статьи приемочной комиссии </w:t>
      </w:r>
      <w:r>
        <w:rPr>
          <w:color w:val="000000"/>
          <w:spacing w:val="0"/>
          <w:w w:val="100"/>
          <w:position w:val="0"/>
          <w:u w:val="single"/>
          <w:shd w:val="clear" w:color="auto" w:fill="auto"/>
          <w:lang w:val="ru-RU" w:eastAsia="ru-RU" w:bidi="ru-RU"/>
        </w:rPr>
        <w:t>не позднее двадцати рабочих дней,</w:t>
      </w:r>
      <w:r>
        <w:rPr>
          <w:color w:val="000000"/>
          <w:spacing w:val="0"/>
          <w:w w:val="100"/>
          <w:position w:val="0"/>
          <w:shd w:val="clear" w:color="auto" w:fill="auto"/>
          <w:lang w:val="ru-RU" w:eastAsia="ru-RU" w:bidi="ru-RU"/>
        </w:rPr>
        <w:t xml:space="preserve"> следующих за днем поступления заказчику документа о приемке в соответствии с пунктом 3 настоящей части:</w:t>
      </w:r>
    </w:p>
    <w:p>
      <w:pPr>
        <w:pStyle w:val="Style15"/>
        <w:keepNext w:val="0"/>
        <w:keepLines w:val="0"/>
        <w:widowControl w:val="0"/>
        <w:numPr>
          <w:ilvl w:val="1"/>
          <w:numId w:val="13"/>
        </w:numPr>
        <w:shd w:val="clear" w:color="auto" w:fill="auto"/>
        <w:tabs>
          <w:tab w:pos="88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pPr>
        <w:pStyle w:val="Style15"/>
        <w:keepNext w:val="0"/>
        <w:keepLines w:val="0"/>
        <w:widowControl w:val="0"/>
        <w:numPr>
          <w:ilvl w:val="1"/>
          <w:numId w:val="13"/>
        </w:numPr>
        <w:shd w:val="clear" w:color="auto" w:fill="auto"/>
        <w:tabs>
          <w:tab w:pos="903"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Раздел 3 проекта контракта предусматривает следующее:</w:t>
      </w:r>
    </w:p>
    <w:p>
      <w:pPr>
        <w:pStyle w:val="Style15"/>
        <w:keepNext w:val="0"/>
        <w:keepLines w:val="0"/>
        <w:widowControl w:val="0"/>
        <w:numPr>
          <w:ilvl w:val="1"/>
          <w:numId w:val="15"/>
        </w:numPr>
        <w:shd w:val="clear" w:color="auto" w:fill="auto"/>
        <w:tabs>
          <w:tab w:pos="1062" w:val="left"/>
        </w:tabs>
        <w:bidi w:val="0"/>
        <w:spacing w:before="0" w:after="0" w:line="240" w:lineRule="auto"/>
        <w:ind w:left="0" w:right="0" w:firstLine="580"/>
        <w:jc w:val="both"/>
      </w:pPr>
      <w:r>
        <w:rPr>
          <w:b/>
          <w:bCs/>
          <w:color w:val="000000"/>
          <w:spacing w:val="0"/>
          <w:w w:val="100"/>
          <w:position w:val="0"/>
          <w:shd w:val="clear" w:color="auto" w:fill="auto"/>
          <w:lang w:val="ru-RU" w:eastAsia="ru-RU" w:bidi="ru-RU"/>
        </w:rPr>
        <w:t xml:space="preserve">Приемка </w:t>
      </w:r>
      <w:r>
        <w:rPr>
          <w:color w:val="000000"/>
          <w:spacing w:val="0"/>
          <w:w w:val="100"/>
          <w:position w:val="0"/>
          <w:shd w:val="clear" w:color="auto" w:fill="auto"/>
          <w:lang w:val="ru-RU" w:eastAsia="ru-RU" w:bidi="ru-RU"/>
        </w:rPr>
        <w:t xml:space="preserve">результатов оказанной Услуги </w:t>
      </w:r>
      <w:r>
        <w:rPr>
          <w:b/>
          <w:bCs/>
          <w:color w:val="000000"/>
          <w:spacing w:val="0"/>
          <w:w w:val="100"/>
          <w:position w:val="0"/>
          <w:shd w:val="clear" w:color="auto" w:fill="auto"/>
          <w:lang w:val="ru-RU" w:eastAsia="ru-RU" w:bidi="ru-RU"/>
        </w:rPr>
        <w:t>осуществляется в течение 10 (десяти) рабочих дней</w:t>
      </w:r>
      <w:r>
        <w:rPr>
          <w:color w:val="000000"/>
          <w:spacing w:val="0"/>
          <w:w w:val="100"/>
          <w:position w:val="0"/>
          <w:shd w:val="clear" w:color="auto" w:fill="auto"/>
          <w:lang w:val="ru-RU" w:eastAsia="ru-RU" w:bidi="ru-RU"/>
        </w:rPr>
        <w:t xml:space="preserve">, следующих за днем поступления документа о приемке, подписанного Исполнителем </w:t>
      </w:r>
      <w:r>
        <w:rPr>
          <w:b/>
          <w:bCs/>
          <w:color w:val="000000"/>
          <w:spacing w:val="0"/>
          <w:w w:val="100"/>
          <w:position w:val="0"/>
          <w:shd w:val="clear" w:color="auto" w:fill="auto"/>
          <w:lang w:val="ru-RU" w:eastAsia="ru-RU" w:bidi="ru-RU"/>
        </w:rPr>
        <w:t>и оформляется документом о приемке</w:t>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 xml:space="preserve">который подписывается Заказчиком </w:t>
      </w:r>
      <w:r>
        <w:rPr>
          <w:color w:val="000000"/>
          <w:spacing w:val="0"/>
          <w:w w:val="100"/>
          <w:position w:val="0"/>
          <w:shd w:val="clear" w:color="auto" w:fill="auto"/>
          <w:lang w:val="ru-RU" w:eastAsia="ru-RU" w:bidi="ru-RU"/>
        </w:rPr>
        <w:t>(</w:t>
      </w:r>
      <w:r>
        <w:rPr>
          <w:b/>
          <w:bCs/>
          <w:color w:val="000000"/>
          <w:spacing w:val="0"/>
          <w:w w:val="100"/>
          <w:position w:val="0"/>
          <w:u w:val="single"/>
          <w:shd w:val="clear" w:color="auto" w:fill="auto"/>
          <w:lang w:val="ru-RU" w:eastAsia="ru-RU" w:bidi="ru-RU"/>
        </w:rPr>
        <w:t>в случае создания приемочной комиссии подписывается всеми членами приемочной комиссии и утверждается заказчиком</w:t>
      </w:r>
      <w:r>
        <w:rPr>
          <w:color w:val="000000"/>
          <w:spacing w:val="0"/>
          <w:w w:val="100"/>
          <w:position w:val="0"/>
          <w:shd w:val="clear" w:color="auto" w:fill="auto"/>
          <w:lang w:val="ru-RU" w:eastAsia="ru-RU" w:bidi="ru-RU"/>
        </w:rPr>
        <w:t>), либо Исполнителю в те же сроки Заказчиком направляется в письменной форме мотивированный отказ от подписания такого документа.</w:t>
      </w:r>
    </w:p>
    <w:p>
      <w:pPr>
        <w:pStyle w:val="Style15"/>
        <w:keepNext w:val="0"/>
        <w:keepLines w:val="0"/>
        <w:widowControl w:val="0"/>
        <w:numPr>
          <w:ilvl w:val="1"/>
          <w:numId w:val="15"/>
        </w:numPr>
        <w:shd w:val="clear" w:color="auto" w:fill="auto"/>
        <w:tabs>
          <w:tab w:pos="1062" w:val="left"/>
        </w:tabs>
        <w:bidi w:val="0"/>
        <w:spacing w:before="0" w:after="0" w:line="240" w:lineRule="auto"/>
        <w:ind w:left="0" w:right="0" w:firstLine="580"/>
        <w:jc w:val="both"/>
      </w:pPr>
      <w:r>
        <w:rPr>
          <w:b/>
          <w:bCs/>
          <w:color w:val="000000"/>
          <w:spacing w:val="0"/>
          <w:w w:val="100"/>
          <w:position w:val="0"/>
          <w:shd w:val="clear" w:color="auto" w:fill="auto"/>
          <w:lang w:val="ru-RU" w:eastAsia="ru-RU" w:bidi="ru-RU"/>
        </w:rPr>
        <w:t>В течение 10 (десяти) рабочих дней</w:t>
      </w:r>
      <w:r>
        <w:rPr>
          <w:color w:val="000000"/>
          <w:spacing w:val="0"/>
          <w:w w:val="100"/>
          <w:position w:val="0"/>
          <w:shd w:val="clear" w:color="auto" w:fill="auto"/>
          <w:lang w:val="ru-RU" w:eastAsia="ru-RU" w:bidi="ru-RU"/>
        </w:rPr>
        <w:t xml:space="preserve">, следующих за днем поступления документа о приемке, подписанного Исполнителем, </w:t>
      </w:r>
      <w:r>
        <w:rPr>
          <w:b/>
          <w:bCs/>
          <w:color w:val="000000"/>
          <w:spacing w:val="0"/>
          <w:w w:val="100"/>
          <w:position w:val="0"/>
          <w:shd w:val="clear" w:color="auto" w:fill="auto"/>
          <w:lang w:val="ru-RU" w:eastAsia="ru-RU" w:bidi="ru-RU"/>
        </w:rPr>
        <w:t xml:space="preserve">Заказчик </w:t>
      </w:r>
      <w:r>
        <w:rPr>
          <w:color w:val="000000"/>
          <w:spacing w:val="0"/>
          <w:w w:val="100"/>
          <w:position w:val="0"/>
          <w:shd w:val="clear" w:color="auto" w:fill="auto"/>
          <w:lang w:val="ru-RU" w:eastAsia="ru-RU" w:bidi="ru-RU"/>
        </w:rPr>
        <w:t>(за исключением случая создания приемочной комиссии) осуществляет одно из следующих действий:</w:t>
      </w:r>
    </w:p>
    <w:p>
      <w:pPr>
        <w:pStyle w:val="Style15"/>
        <w:keepNext w:val="0"/>
        <w:keepLines w:val="0"/>
        <w:widowControl w:val="0"/>
        <w:numPr>
          <w:ilvl w:val="0"/>
          <w:numId w:val="17"/>
        </w:numPr>
        <w:shd w:val="clear" w:color="auto" w:fill="auto"/>
        <w:tabs>
          <w:tab w:pos="87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pPr>
        <w:pStyle w:val="Style15"/>
        <w:keepNext w:val="0"/>
        <w:keepLines w:val="0"/>
        <w:widowControl w:val="0"/>
        <w:numPr>
          <w:ilvl w:val="0"/>
          <w:numId w:val="17"/>
        </w:numPr>
        <w:shd w:val="clear" w:color="auto" w:fill="auto"/>
        <w:tabs>
          <w:tab w:pos="918"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pPr>
        <w:pStyle w:val="Style15"/>
        <w:keepNext w:val="0"/>
        <w:keepLines w:val="0"/>
        <w:widowControl w:val="0"/>
        <w:numPr>
          <w:ilvl w:val="1"/>
          <w:numId w:val="15"/>
        </w:numPr>
        <w:shd w:val="clear" w:color="auto" w:fill="auto"/>
        <w:tabs>
          <w:tab w:pos="1071" w:val="left"/>
        </w:tabs>
        <w:bidi w:val="0"/>
        <w:spacing w:before="0" w:after="0" w:line="240" w:lineRule="auto"/>
        <w:ind w:left="0" w:right="0" w:firstLine="580"/>
        <w:jc w:val="both"/>
      </w:pPr>
      <w:r>
        <w:rPr>
          <w:b/>
          <w:bCs/>
          <w:color w:val="000000"/>
          <w:spacing w:val="0"/>
          <w:w w:val="100"/>
          <w:position w:val="0"/>
          <w:shd w:val="clear" w:color="auto" w:fill="auto"/>
          <w:lang w:val="ru-RU" w:eastAsia="ru-RU" w:bidi="ru-RU"/>
        </w:rPr>
        <w:t>В случае создания приемочной комиссии не позднее 20 (двадцати) рабочих дней</w:t>
      </w:r>
      <w:r>
        <w:rPr>
          <w:color w:val="000000"/>
          <w:spacing w:val="0"/>
          <w:w w:val="100"/>
          <w:position w:val="0"/>
          <w:shd w:val="clear" w:color="auto" w:fill="auto"/>
          <w:lang w:val="ru-RU" w:eastAsia="ru-RU" w:bidi="ru-RU"/>
        </w:rPr>
        <w:t>, следующих за днем поступления Заказчику документа о приемке:</w:t>
      </w:r>
    </w:p>
    <w:p>
      <w:pPr>
        <w:pStyle w:val="Style15"/>
        <w:keepNext w:val="0"/>
        <w:keepLines w:val="0"/>
        <w:widowControl w:val="0"/>
        <w:numPr>
          <w:ilvl w:val="0"/>
          <w:numId w:val="19"/>
        </w:numPr>
        <w:shd w:val="clear" w:color="auto" w:fill="auto"/>
        <w:tabs>
          <w:tab w:pos="88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w:t>
      </w:r>
      <w:r>
        <w:rPr>
          <w:color w:val="000000"/>
          <w:spacing w:val="0"/>
          <w:w w:val="100"/>
          <w:position w:val="0"/>
          <w:shd w:val="clear" w:color="auto" w:fill="auto"/>
          <w:lang w:val="ru-RU" w:eastAsia="ru-RU" w:bidi="ru-RU"/>
        </w:rPr>
        <w:t>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pPr>
        <w:pStyle w:val="Style15"/>
        <w:keepNext w:val="0"/>
        <w:keepLines w:val="0"/>
        <w:widowControl w:val="0"/>
        <w:numPr>
          <w:ilvl w:val="0"/>
          <w:numId w:val="19"/>
        </w:numPr>
        <w:shd w:val="clear" w:color="auto" w:fill="auto"/>
        <w:tabs>
          <w:tab w:pos="90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Пункты 3.6, 3.7 проекта контракта содержат порядок приемки результатов оказанной услуги в зависимости от способа приемки (единолично заказчиком либо приемочной комиссией), а также сроки такой приемки, не превышающие 20 рабочих дней.</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Однако положения пункта 3.5 проекта контракта не согласуются с положениями пунктов 3.6, 3.7 проекта контракта, поскольку пункт 3.5 предполагает приемку как заказчиком, так и приемочной комиссией в течение 10 рабочих дней.</w:t>
      </w:r>
    </w:p>
    <w:p>
      <w:pPr>
        <w:pStyle w:val="Style15"/>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Таким образом, проект контракта содержит противоречивые условия о сроках приемки результатов оказанной услуги, что не соответствует пункту 1 части 13 статьи 34 Закона о контрактной системе.</w:t>
      </w:r>
    </w:p>
    <w:p>
      <w:pPr>
        <w:pStyle w:val="Style15"/>
        <w:keepNext w:val="0"/>
        <w:keepLines w:val="0"/>
        <w:widowControl w:val="0"/>
        <w:numPr>
          <w:ilvl w:val="0"/>
          <w:numId w:val="21"/>
        </w:numPr>
        <w:shd w:val="clear" w:color="auto" w:fill="auto"/>
        <w:tabs>
          <w:tab w:pos="87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Как следует из содержания жалобы, сроки оказания услуг не соответствуют сроку действия контракта, поскольку выходят за его пределы.</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 на довод жалобы возразил и указал, что срок исполнения обязательств по контракту, по подсчетам заказчика, приходится на 12.12.2023, а также отметил, что срок приемки оказанных услуг не входит в сроки исполнения обязательств со стороны исполнителя.</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Челябинского УФАС России приходит к выводу о том, что довод заявителя основан на предположениях, вероятность наступления которых не подтверждена.</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Законодательство о контрактной системе не определяет сроки исполнения контракта, указанные обязательства регламентируются гражданским законодательством.</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Кроме того, пунктом 4.3.4. проекта контракта предусмотрено право исполнителя по согласованию с заказчиком досрочно оказать услугу, а пунктом 10.2 проекта контракта условие о том, что «Окончание срока действия настоящего Контракта не освобождает Стороны от ответственности за нарушение условий настоящего Контракта, допущенных в период срока его действия, и не снимает со Сторон обязанности по выполнению своих обязательств по настоящему Контракту».</w:t>
      </w:r>
    </w:p>
    <w:p>
      <w:pPr>
        <w:pStyle w:val="Style15"/>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Довод заявителя является необоснованным, недоказанным.</w:t>
      </w:r>
    </w:p>
    <w:p>
      <w:pPr>
        <w:pStyle w:val="Style15"/>
        <w:keepNext w:val="0"/>
        <w:keepLines w:val="0"/>
        <w:widowControl w:val="0"/>
        <w:numPr>
          <w:ilvl w:val="0"/>
          <w:numId w:val="21"/>
        </w:numPr>
        <w:shd w:val="clear" w:color="auto" w:fill="auto"/>
        <w:tabs>
          <w:tab w:pos="875" w:val="left"/>
        </w:tabs>
        <w:bidi w:val="0"/>
        <w:spacing w:before="0" w:after="260" w:line="240" w:lineRule="auto"/>
        <w:ind w:left="0" w:right="0" w:firstLine="580"/>
        <w:jc w:val="both"/>
      </w:pPr>
      <w:r>
        <w:rPr>
          <w:color w:val="000000"/>
          <w:spacing w:val="0"/>
          <w:w w:val="100"/>
          <w:position w:val="0"/>
          <w:shd w:val="clear" w:color="auto" w:fill="auto"/>
          <w:lang w:val="ru-RU" w:eastAsia="ru-RU" w:bidi="ru-RU"/>
        </w:rPr>
        <w:t>Согласно доводу заявителя, Федеральный закон от 27.07.2006 № 149-ФЗ «Об информации, информационных технологиях и о защите информации» устанавливает запрет для ряда российских организаций на использование иностранных мессенджеров (принадлежащих иностранным лицам, информационных систем и программ для ЭВМ, которые предназначены и (или) используются для обмена сообщениями исключительно между их пользователями, при котором отправитель определяет получателей сообщений и не предусматривается размещение интернет-пользователями общедоступной информации в Интернете). По состоянию на 1 марта 2023 года к таким сервисам могут быть отнесены (</w:t>
      </w:r>
      <w:r>
        <w:fldChar w:fldCharType="begin"/>
      </w:r>
      <w:r>
        <w:rPr/>
        <w:instrText> HYPERLINK "https://rkn.gov.ru/news/rsoc/news74672.htm" </w:instrText>
      </w:r>
      <w:r>
        <w:fldChar w:fldCharType="separate"/>
      </w:r>
      <w:r>
        <w:rPr>
          <w:color w:val="000080"/>
          <w:spacing w:val="0"/>
          <w:w w:val="100"/>
          <w:position w:val="0"/>
          <w:u w:val="single"/>
          <w:shd w:val="clear" w:color="auto" w:fill="auto"/>
          <w:lang w:val="ru-RU" w:eastAsia="ru-RU" w:bidi="ru-RU"/>
        </w:rPr>
        <w:t>Ьир8://гкп.доу.ги/пе^8/г8ОС/пе^874672.Ь1т</w:t>
      </w:r>
      <w:r>
        <w:fldChar w:fldCharType="end"/>
      </w:r>
      <w:r>
        <w:rPr>
          <w:color w:val="000000"/>
          <w:spacing w:val="0"/>
          <w:w w:val="100"/>
          <w:position w:val="0"/>
          <w:shd w:val="clear" w:color="auto" w:fill="auto"/>
          <w:lang w:val="ru-RU" w:eastAsia="ru-RU" w:bidi="ru-RU"/>
        </w:rPr>
        <w:t>):</w:t>
      </w:r>
    </w:p>
    <w:p>
      <w:pPr>
        <w:pStyle w:val="Style15"/>
        <w:keepNext w:val="0"/>
        <w:keepLines w:val="0"/>
        <w:widowControl w:val="0"/>
        <w:numPr>
          <w:ilvl w:val="0"/>
          <w:numId w:val="23"/>
        </w:numPr>
        <w:shd w:val="clear" w:color="auto" w:fill="auto"/>
        <w:tabs>
          <w:tab w:pos="1393" w:val="left"/>
          <w:tab w:pos="141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^^зсо^^;</w:t>
      </w:r>
    </w:p>
    <w:p>
      <w:pPr>
        <w:pStyle w:val="Style15"/>
        <w:keepNext w:val="0"/>
        <w:keepLines w:val="0"/>
        <w:widowControl w:val="0"/>
        <w:numPr>
          <w:ilvl w:val="0"/>
          <w:numId w:val="23"/>
        </w:numPr>
        <w:shd w:val="clear" w:color="auto" w:fill="auto"/>
        <w:tabs>
          <w:tab w:pos="1393" w:val="left"/>
          <w:tab w:pos="141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Мкгозой Театз;</w:t>
      </w:r>
    </w:p>
    <w:p>
      <w:pPr>
        <w:pStyle w:val="Style15"/>
        <w:keepNext w:val="0"/>
        <w:keepLines w:val="0"/>
        <w:widowControl w:val="0"/>
        <w:numPr>
          <w:ilvl w:val="0"/>
          <w:numId w:val="23"/>
        </w:numPr>
        <w:shd w:val="clear" w:color="auto" w:fill="auto"/>
        <w:tabs>
          <w:tab w:pos="1393" w:val="left"/>
          <w:tab w:pos="141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8куре Гог Визтезз;</w:t>
      </w:r>
    </w:p>
    <w:p>
      <w:pPr>
        <w:pStyle w:val="Style15"/>
        <w:keepNext w:val="0"/>
        <w:keepLines w:val="0"/>
        <w:widowControl w:val="0"/>
        <w:numPr>
          <w:ilvl w:val="0"/>
          <w:numId w:val="23"/>
        </w:numPr>
        <w:shd w:val="clear" w:color="auto" w:fill="auto"/>
        <w:tabs>
          <w:tab w:pos="1393" w:val="left"/>
          <w:tab w:pos="141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^парсЬаР</w:t>
      </w:r>
    </w:p>
    <w:p>
      <w:pPr>
        <w:pStyle w:val="Style15"/>
        <w:keepNext w:val="0"/>
        <w:keepLines w:val="0"/>
        <w:widowControl w:val="0"/>
        <w:numPr>
          <w:ilvl w:val="0"/>
          <w:numId w:val="23"/>
        </w:numPr>
        <w:shd w:val="clear" w:color="auto" w:fill="auto"/>
        <w:tabs>
          <w:tab w:pos="1393" w:val="left"/>
          <w:tab w:pos="141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Те1едгат;</w:t>
      </w:r>
    </w:p>
    <w:p>
      <w:pPr>
        <w:pStyle w:val="Style15"/>
        <w:keepNext w:val="0"/>
        <w:keepLines w:val="0"/>
        <w:widowControl w:val="0"/>
        <w:numPr>
          <w:ilvl w:val="0"/>
          <w:numId w:val="23"/>
        </w:numPr>
        <w:shd w:val="clear" w:color="auto" w:fill="auto"/>
        <w:tabs>
          <w:tab w:pos="1393" w:val="left"/>
          <w:tab w:pos="141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Тйгеета;</w:t>
      </w:r>
    </w:p>
    <w:p>
      <w:pPr>
        <w:pStyle w:val="Style15"/>
        <w:keepNext w:val="0"/>
        <w:keepLines w:val="0"/>
        <w:widowControl w:val="0"/>
        <w:numPr>
          <w:ilvl w:val="0"/>
          <w:numId w:val="23"/>
        </w:numPr>
        <w:shd w:val="clear" w:color="auto" w:fill="auto"/>
        <w:tabs>
          <w:tab w:pos="1393" w:val="left"/>
          <w:tab w:pos="141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ХйЬег;</w:t>
      </w:r>
    </w:p>
    <w:p>
      <w:pPr>
        <w:pStyle w:val="Style15"/>
        <w:keepNext w:val="0"/>
        <w:keepLines w:val="0"/>
        <w:widowControl w:val="0"/>
        <w:numPr>
          <w:ilvl w:val="0"/>
          <w:numId w:val="23"/>
        </w:numPr>
        <w:shd w:val="clear" w:color="auto" w:fill="auto"/>
        <w:tabs>
          <w:tab w:pos="1393" w:val="left"/>
          <w:tab w:pos="141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\\'11а1зЛрр;</w:t>
      </w:r>
    </w:p>
    <w:p>
      <w:pPr>
        <w:pStyle w:val="Style15"/>
        <w:keepNext w:val="0"/>
        <w:keepLines w:val="0"/>
        <w:widowControl w:val="0"/>
        <w:numPr>
          <w:ilvl w:val="0"/>
          <w:numId w:val="23"/>
        </w:numPr>
        <w:shd w:val="clear" w:color="auto" w:fill="auto"/>
        <w:tabs>
          <w:tab w:pos="1393" w:val="left"/>
          <w:tab w:pos="141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ХХеОЪак</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 мнению заявителя, заказчик неправомерно в пункте 9.2 Приложения №1 к извещению «Техническое задание на оказание услуги по модификации автоматизированной системы оперативного мониторинга социально-экономического развития Челябинской области» устанавливает требования к реализации функционала модифицированной системы посредством мессенджера Те1едгат.</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части 8 статьи 10 Федерального закона от 27.07.2006 № 149-ФЗ «Об информации, информационных технологиях и о защите информации» запрещается при предоставлении государственных и муниципальных услуг, выполнении государственного или муниципального задания, а также при реализации государственными компаниями, государственными и муниципальными унитарными предприятиями, публично-правовыми компаниями, хозяйственными обществами, в уставном капитале которых доля участия Российской Федерации, субъекта Российской Федерации, муниципального образования в совокупности превышает пятьдесят процентов, кредитными организациями, некредитными финансовыми организациями, которые осуществляют указанные в части первой статьи 76.1 Федерального закона от 10 июля 2002 года № 86-ФЗ «О Центральном банке Российской Федерации (Банке России)» виды деятельности, субъектами национальной платежной системы товаров, работ, услуг, имущественных прав использование принадлежащих иностранным юридическим лицам и (или) иностранным гражданам информационных систем и (или) программ для электронных вычислительных машин, которые предназначены и (или) используются для обмена электронными сообщениями исключительно между пользователями этих информационных систем и (или) программ для электронных вычислительных машин, при котором отправитель электронного сообщения определяет получателя или получателей электронного сообщения и не предусматривается размещение пользователями сети «Интернет» общедоступной информации в сети «Интернет», для передачи платежных документов и (или) предоставления информации, содержащей персональные данные граждан Российской Федерации, данные о переводах денежных средств в рамках применяемых форм безналичных расчетов, сведения, необходимые для осуществления платежей и (или) сведения о счетах (вкладах) граждан Российской Федерации в банках.</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Представители заказчика на заседании Комиссии пояснили, что программу Те1едгат можно использовать для уведомлений в рамках контракта при исполнении государственного задания при условии, что такие уведомления не содержат персональных данных граждан Российской Федерации, данных о переводах денежных средств в рамках применяемых форм безналичных расчетов, сведений, необходимых для осуществления платежей и (или) сведений о счетах (вкладах) граждан Российской Федерации в банках.</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Комиссия Челябинского УФАС России отмечает, что антимонопольный орган не является федеральным органом исполнительной власти, осуществляющим функции по контролю и надзору в сфере средств массовой информации, в том числе электронных, и массовых коммуникаций, информационных технологий и связи, функции по контролю и </w:t>
      </w:r>
      <w:r>
        <w:rPr>
          <w:color w:val="000000"/>
          <w:spacing w:val="0"/>
          <w:w w:val="100"/>
          <w:position w:val="0"/>
          <w:shd w:val="clear" w:color="auto" w:fill="auto"/>
          <w:lang w:val="ru-RU" w:eastAsia="ru-RU" w:bidi="ru-RU"/>
        </w:rPr>
        <w:t>надзору за соответствием обработки персональных данных требованиям законодательства Российской Федерации в области персональных данных, а также функции по организации деятельности радиочастотной службы. Таким органом является Федеральная служба по надзору в сфере связи, информационных технологий и массовых коммуникаций (Роскомнадзор).</w:t>
      </w:r>
    </w:p>
    <w:p>
      <w:pPr>
        <w:pStyle w:val="Style15"/>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В связи с чем в полномочия Комиссии антимонопольного органа не входит осуществление контроля за соблюдением требований Федерального закона от 27.07.2006 № 149-ФЗ «Об информации, информационных технологиях и о защите информации». Заявитель вправе обратиться в Роскомнадзор.</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6. В силу пунктов 1, 5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проект контракта.</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Извещение о закупке является по своей правовой природе публичной офертой, которая в силу части 2 статьи 437 Гражданского кодекса РФ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исполнителя, в том числе в части определения предмета контракта и условий его исполнения.</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В силу части 4 статьи 33 Закона о контрактной системе требования к гарантии качества товара, работы, услуги, а также </w:t>
      </w:r>
      <w:r>
        <w:rPr>
          <w:color w:val="000000"/>
          <w:spacing w:val="0"/>
          <w:w w:val="100"/>
          <w:position w:val="0"/>
          <w:u w:val="single"/>
          <w:shd w:val="clear" w:color="auto" w:fill="auto"/>
          <w:lang w:val="ru-RU" w:eastAsia="ru-RU" w:bidi="ru-RU"/>
        </w:rPr>
        <w:t>требования к гарантийному сроку</w:t>
      </w:r>
      <w:r>
        <w:rPr>
          <w:color w:val="000000"/>
          <w:spacing w:val="0"/>
          <w:w w:val="100"/>
          <w:position w:val="0"/>
          <w:shd w:val="clear" w:color="auto" w:fill="auto"/>
          <w:lang w:val="ru-RU" w:eastAsia="ru-RU" w:bidi="ru-RU"/>
        </w:rPr>
        <w:t xml:space="preserve">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статье 190 Гражданского кодекса РФ установленный законом, иными правовыми актами, сделкой или назначаемый судом срок определяется календарной датой или истечением периода времени, который исчисляется годами, месяцами, неделями, днями или часами.</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Срок может определяться также указанием на событие, которое должно неизбежно наступить.</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со статья 191 Гражданского кодекса РФ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Статьей 192 Гражданского кодекса РФ предусмотрено, что срок, исчисляемый месяцами, истекает в соответствующее </w:t>
      </w:r>
      <w:r>
        <w:rPr>
          <w:color w:val="000000"/>
          <w:spacing w:val="0"/>
          <w:w w:val="100"/>
          <w:position w:val="0"/>
          <w:u w:val="single"/>
          <w:shd w:val="clear" w:color="auto" w:fill="auto"/>
          <w:lang w:val="ru-RU" w:eastAsia="ru-RU" w:bidi="ru-RU"/>
        </w:rPr>
        <w:t>число последнего месяца срока</w:t>
      </w:r>
      <w:r>
        <w:rPr>
          <w:color w:val="000000"/>
          <w:spacing w:val="0"/>
          <w:w w:val="100"/>
          <w:position w:val="0"/>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Согласно пункту 13.1 проекта контракта гарантийный срок на результаты оказанной услуги, составляет </w:t>
      </w:r>
      <w:r>
        <w:rPr>
          <w:color w:val="000000"/>
          <w:spacing w:val="0"/>
          <w:w w:val="100"/>
          <w:position w:val="0"/>
          <w:u w:val="single"/>
          <w:shd w:val="clear" w:color="auto" w:fill="auto"/>
          <w:lang w:val="ru-RU" w:eastAsia="ru-RU" w:bidi="ru-RU"/>
        </w:rPr>
        <w:t>не менее 12 (двенадцати) месяцев</w:t>
      </w:r>
      <w:r>
        <w:rPr>
          <w:color w:val="000000"/>
          <w:spacing w:val="0"/>
          <w:w w:val="100"/>
          <w:position w:val="0"/>
          <w:shd w:val="clear" w:color="auto" w:fill="auto"/>
          <w:lang w:val="ru-RU" w:eastAsia="ru-RU" w:bidi="ru-RU"/>
        </w:rPr>
        <w:t xml:space="preserve"> с даты подписания сторонами документа о приемке.</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Из пункта 13.1 проекта контракта следует, что гарантийный срок в соответствии со статьей 191 Гражданского кодекса РФ начинает течь на следующий день после календарной даты подписания сторонами документа о приемке.</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Однако из пункта 13.1 проекта контракта невозможно сделать вывод о том, когда именно истекает гарантийных срок, поскольку проект контракта не указывает ни событие, которое должно неизбежно наступить, ни календарную дату, ни последний месяц срока.</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Установление гарантийного срока в сопровождении словами «не менее» приводит к тому, что потенциальным исполнителям неясно, во-первых, какой гарантийных срок, установлен проектом контракта, во-вторых, как рассчитать срок действия банковской гарантии для целей обеспечения гарантийных обязательств, в-третьих, как рассчитать срок возврата денежных средств, внесенных в качестве обеспечения гарантийных обязательств.</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Относительно пояснений представителей заказчика о том, что гарантийный срок в пункте 13.1 проекта контракта будет конкретизирован при заключении контракта, Комиссия отмечает, что в силу части 1 статьи 34, статьи 43, части 2 статьи 51 Закона о контрактной системе у заказчика и победителя закупки отсутствуют правовые основания для изменения условия о гарантийном сроке на этапе заключения контракта.</w:t>
      </w:r>
    </w:p>
    <w:p>
      <w:pPr>
        <w:pStyle w:val="Style15"/>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С учетом изложенного, в действиях заказчика усматривается нарушение части 4 статьи 33 Закона о контрактной системе.</w:t>
      </w:r>
    </w:p>
    <w:p>
      <w:pPr>
        <w:pStyle w:val="Style15"/>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В связи с допущенными нарушениями в действиях должностных лиц усматриваются признаки состава административного правонарушения, предусмотренного главой 7 КоАП РФ.</w:t>
      </w:r>
    </w:p>
    <w:p>
      <w:pPr>
        <w:pStyle w:val="Style15"/>
        <w:keepNext w:val="0"/>
        <w:keepLines w:val="0"/>
        <w:widowControl w:val="0"/>
        <w:shd w:val="clear" w:color="auto" w:fill="auto"/>
        <w:bidi w:val="0"/>
        <w:spacing w:before="0" w:after="260" w:line="240" w:lineRule="auto"/>
        <w:ind w:left="0" w:right="0" w:firstLine="600"/>
        <w:jc w:val="both"/>
      </w:pPr>
      <w:r>
        <w:rPr>
          <w:i/>
          <w:iCs/>
          <w:color w:val="000000"/>
          <w:spacing w:val="0"/>
          <w:w w:val="100"/>
          <w:position w:val="0"/>
          <w:shd w:val="clear" w:color="auto" w:fill="auto"/>
          <w:lang w:val="ru-RU" w:eastAsia="ru-RU" w:bidi="ru-RU"/>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5"/>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5"/>
        <w:keepNext w:val="0"/>
        <w:keepLines w:val="0"/>
        <w:widowControl w:val="0"/>
        <w:numPr>
          <w:ilvl w:val="0"/>
          <w:numId w:val="25"/>
        </w:numPr>
        <w:shd w:val="clear" w:color="auto" w:fill="auto"/>
        <w:tabs>
          <w:tab w:pos="950"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Признать жалобу ООО «АСофт» на положения извещения при проведении электронного аукциона Услуга по модификации автоматизированной системы оперативного мониторинга социально-экономического развития Челябинской области (извещение № 0869200000223003410) обоснованной в части неправомерного установления требований согласно части 2.1 статьи 31 Закона о контрактной системе, противоречивости условий контракта о сроке приемки результатов оказанной услуги, неопределенности гарантийного срока, в остальной части — необоснованной.</w:t>
      </w:r>
    </w:p>
    <w:p>
      <w:pPr>
        <w:pStyle w:val="Style15"/>
        <w:keepNext w:val="0"/>
        <w:keepLines w:val="0"/>
        <w:widowControl w:val="0"/>
        <w:numPr>
          <w:ilvl w:val="0"/>
          <w:numId w:val="25"/>
        </w:numPr>
        <w:shd w:val="clear" w:color="auto" w:fill="auto"/>
        <w:tabs>
          <w:tab w:pos="950"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Признать в действиях заказчика нарушение части 4 статьи 33, пункта 1 части 13 статьи 34 Закона о контрактной системе.</w:t>
      </w:r>
    </w:p>
    <w:p>
      <w:pPr>
        <w:pStyle w:val="Style15"/>
        <w:keepNext w:val="0"/>
        <w:keepLines w:val="0"/>
        <w:widowControl w:val="0"/>
        <w:numPr>
          <w:ilvl w:val="0"/>
          <w:numId w:val="25"/>
        </w:numPr>
        <w:shd w:val="clear" w:color="auto" w:fill="auto"/>
        <w:tabs>
          <w:tab w:pos="950" w:val="left"/>
        </w:tabs>
        <w:bidi w:val="0"/>
        <w:spacing w:before="0" w:after="260" w:line="240" w:lineRule="auto"/>
        <w:ind w:left="0" w:right="0" w:firstLine="600"/>
        <w:jc w:val="both"/>
      </w:pPr>
      <w:r>
        <w:rPr>
          <w:color w:val="000000"/>
          <w:spacing w:val="0"/>
          <w:w w:val="100"/>
          <w:position w:val="0"/>
          <w:shd w:val="clear" w:color="auto" w:fill="auto"/>
          <w:lang w:val="ru-RU" w:eastAsia="ru-RU" w:bidi="ru-RU"/>
        </w:rPr>
        <w:t>Признать в действиях уполномоченного учреждения нарушение части 2.1 статьи 31, пункта 12 части 1, пункта 3 части 2 статьи 42 Закона о контрактной системе.</w:t>
      </w:r>
      <w:r>
        <w:br w:type="page"/>
      </w:r>
    </w:p>
    <w:p>
      <w:pPr>
        <w:pStyle w:val="Style15"/>
        <w:keepNext w:val="0"/>
        <w:keepLines w:val="0"/>
        <w:widowControl w:val="0"/>
        <w:numPr>
          <w:ilvl w:val="0"/>
          <w:numId w:val="25"/>
        </w:numPr>
        <w:shd w:val="clear" w:color="auto" w:fill="auto"/>
        <w:tabs>
          <w:tab w:pos="95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Предписание об устранении нарушений законодательства о контрактной системе не выдавать.</w:t>
      </w:r>
    </w:p>
    <w:p>
      <w:pPr>
        <w:pStyle w:val="Style15"/>
        <w:keepNext w:val="0"/>
        <w:keepLines w:val="0"/>
        <w:widowControl w:val="0"/>
        <w:numPr>
          <w:ilvl w:val="0"/>
          <w:numId w:val="25"/>
        </w:numPr>
        <w:shd w:val="clear" w:color="auto" w:fill="auto"/>
        <w:tabs>
          <w:tab w:pos="950" w:val="left"/>
        </w:tabs>
        <w:bidi w:val="0"/>
        <w:spacing w:before="0" w:after="260" w:line="240" w:lineRule="auto"/>
        <w:ind w:left="0" w:right="0" w:firstLine="580"/>
        <w:jc w:val="both"/>
      </w:pPr>
      <w:r>
        <w:rPr>
          <w:color w:val="000000"/>
          <w:spacing w:val="0"/>
          <w:w w:val="100"/>
          <w:position w:val="0"/>
          <w:shd w:val="clear" w:color="auto" w:fill="auto"/>
          <w:lang w:val="ru-RU" w:eastAsia="ru-RU" w:bidi="ru-RU"/>
        </w:rPr>
        <w:t>Передать материалы дела должностному лицу Челябинского УФАС России для решения вопроса о привлечении виновных лиц к административной ответственности за нарушение законодательства о контрактной системе.</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545" w:right="526" w:bottom="1214" w:left="1088" w:header="0" w:footer="3" w:gutter="0"/>
          <w:cols w:space="720"/>
          <w:noEndnote/>
          <w:rtlGutter w:val="0"/>
          <w:docGrid w:linePitch="360"/>
        </w:sectPr>
      </w:pPr>
      <w:r>
        <mc:AlternateContent>
          <mc:Choice Requires="wps">
            <w:drawing>
              <wp:anchor distT="127000" distB="201295" distL="0" distR="0" simplePos="0" relativeHeight="125829378" behindDoc="0" locked="0" layoutInCell="1" allowOverlap="1">
                <wp:simplePos x="0" y="0"/>
                <wp:positionH relativeFrom="page">
                  <wp:posOffset>736600</wp:posOffset>
                </wp:positionH>
                <wp:positionV relativeFrom="paragraph">
                  <wp:posOffset>127000</wp:posOffset>
                </wp:positionV>
                <wp:extent cx="1828800" cy="252730"/>
                <wp:wrapTopAndBottom/>
                <wp:docPr id="8" name="Shape 8"/>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4" type="#_x0000_t202" style="position:absolute;margin-left:58.pt;margin-top:10.pt;width:144.pt;height:19.900000000000002pt;z-index:-125829375;mso-wrap-distance-left:0;mso-wrap-distance-top:10.pt;mso-wrap-distance-right:0;mso-wrap-distance-bottom:15.8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218440" distB="0" distL="0" distR="1807210" simplePos="0" relativeHeight="125829380" behindDoc="0" locked="0" layoutInCell="1" allowOverlap="1">
            <wp:simplePos x="0" y="0"/>
            <wp:positionH relativeFrom="page">
              <wp:posOffset>2680970</wp:posOffset>
            </wp:positionH>
            <wp:positionV relativeFrom="paragraph">
              <wp:posOffset>218440</wp:posOffset>
            </wp:positionV>
            <wp:extent cx="311150" cy="365760"/>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3074035</wp:posOffset>
                </wp:positionH>
                <wp:positionV relativeFrom="paragraph">
                  <wp:posOffset>291465</wp:posOffset>
                </wp:positionV>
                <wp:extent cx="1725295" cy="255905"/>
                <wp:wrapNone/>
                <wp:docPr id="12" name="Shape 12"/>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8" type="#_x0000_t202" style="position:absolute;margin-left:242.05000000000001pt;margin-top:22.949999999999999pt;width:135.84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01295" distL="0" distR="0" simplePos="0" relativeHeight="125829381" behindDoc="0" locked="0" layoutInCell="1" allowOverlap="1">
                <wp:simplePos x="0" y="0"/>
                <wp:positionH relativeFrom="page">
                  <wp:posOffset>6021705</wp:posOffset>
                </wp:positionH>
                <wp:positionV relativeFrom="paragraph">
                  <wp:posOffset>127000</wp:posOffset>
                </wp:positionV>
                <wp:extent cx="1167130" cy="252730"/>
                <wp:wrapTopAndBottom/>
                <wp:docPr id="14" name="Shape 14"/>
                <a:graphic xmlns:a="http://schemas.openxmlformats.org/drawingml/2006/main">
                  <a:graphicData uri="http://schemas.microsoft.com/office/word/2010/wordprocessingShape">
                    <wps:wsp>
                      <wps:cNvSpPr txBox="1"/>
                      <wps:spPr>
                        <a:xfrm>
                          <a:ext cx="116713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В.А. Ливончик</w:t>
                            </w:r>
                          </w:p>
                        </w:txbxContent>
                      </wps:txbx>
                      <wps:bodyPr wrap="none" lIns="0" tIns="0" rIns="0" bIns="0">
                        <a:noAutoFit/>
                      </wps:bodyPr>
                    </wps:wsp>
                  </a:graphicData>
                </a:graphic>
              </wp:anchor>
            </w:drawing>
          </mc:Choice>
          <mc:Fallback>
            <w:pict>
              <v:shape id="_x0000_s1040" type="#_x0000_t202" style="position:absolute;margin-left:474.15000000000003pt;margin-top:10.pt;width:91.900000000000006pt;height:19.900000000000002pt;z-index:-125829372;mso-wrap-distance-left:0;mso-wrap-distance-top:10.pt;mso-wrap-distance-right:0;mso-wrap-distance-bottom:15.8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В.А. Ливончик</w:t>
                      </w:r>
                    </w:p>
                  </w:txbxContent>
                </v:textbox>
                <w10:wrap type="topAndBottom" anchorx="page"/>
              </v:shape>
            </w:pict>
          </mc:Fallback>
        </mc:AlternateContent>
      </w:r>
    </w:p>
    <w:p>
      <w:pPr>
        <w:pStyle w:val="Style34"/>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36"/>
        <w:keepNext w:val="0"/>
        <w:keepLines w:val="0"/>
        <w:widowControl w:val="0"/>
        <w:shd w:val="clear" w:color="auto" w:fill="auto"/>
        <w:bidi w:val="0"/>
        <w:spacing w:before="0" w:after="0" w:line="240" w:lineRule="auto"/>
        <w:ind w:right="0" w:firstLine="0"/>
        <w:jc w:val="left"/>
        <w:rPr>
          <w:sz w:val="10"/>
          <w:szCs w:val="10"/>
        </w:rPr>
      </w:pPr>
      <w:r>
        <w:rPr>
          <w:spacing w:val="0"/>
          <w:w w:val="100"/>
          <w:position w:val="0"/>
          <w:sz w:val="11"/>
          <w:szCs w:val="11"/>
          <w:shd w:val="clear" w:color="auto" w:fill="auto"/>
          <w:lang w:val="ru-RU" w:eastAsia="ru-RU" w:bidi="ru-RU"/>
        </w:rPr>
        <w:t xml:space="preserve">Кому выдан: </w:t>
      </w:r>
      <w:r>
        <w:rPr>
          <w:color w:val="000000"/>
          <w:spacing w:val="0"/>
          <w:w w:val="100"/>
          <w:position w:val="0"/>
          <w:sz w:val="10"/>
          <w:szCs w:val="10"/>
          <w:shd w:val="clear" w:color="auto" w:fill="auto"/>
          <w:lang w:val="ru-RU" w:eastAsia="ru-RU" w:bidi="ru-RU"/>
        </w:rPr>
        <w:t>Ливончик Влада Анатольевна</w:t>
      </w:r>
    </w:p>
    <w:p>
      <w:pPr>
        <w:pStyle w:val="Style36"/>
        <w:keepNext w:val="0"/>
        <w:keepLines w:val="0"/>
        <w:widowControl w:val="0"/>
        <w:shd w:val="clear" w:color="auto" w:fill="auto"/>
        <w:bidi w:val="0"/>
        <w:spacing w:before="0" w:after="0" w:line="240" w:lineRule="auto"/>
        <w:ind w:right="0" w:firstLine="0"/>
        <w:jc w:val="left"/>
      </w:pPr>
      <w:r>
        <w:rPr>
          <w:color w:val="3A3A3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A3A3A"/>
          <w:spacing w:val="0"/>
          <w:w w:val="100"/>
          <w:position w:val="0"/>
          <w:shd w:val="clear" w:color="auto" w:fill="auto"/>
          <w:lang w:val="ru-RU" w:eastAsia="ru-RU" w:bidi="ru-RU"/>
        </w:rPr>
        <w:t>008А08В8СССА507Е407686ВСА8А57008Е</w:t>
      </w:r>
    </w:p>
    <w:p>
      <w:pPr>
        <w:pStyle w:val="Style36"/>
        <w:keepNext w:val="0"/>
        <w:keepLines w:val="0"/>
        <w:widowControl w:val="0"/>
        <w:shd w:val="clear" w:color="auto" w:fill="auto"/>
        <w:bidi w:val="0"/>
        <w:spacing w:before="0" w:after="2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21.02.2023 </w:t>
      </w:r>
      <w:r>
        <w:rPr>
          <w:color w:val="3A3A3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16.05.2024</w:t>
      </w:r>
    </w:p>
    <w:p>
      <w:pPr>
        <w:pStyle w:val="Style15"/>
        <w:keepNext w:val="0"/>
        <w:keepLines w:val="0"/>
        <w:widowControl w:val="0"/>
        <w:shd w:val="clear" w:color="auto" w:fill="auto"/>
        <w:bidi w:val="0"/>
        <w:spacing w:before="0" w:after="10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pStyle w:val="Style15"/>
        <w:keepNext w:val="0"/>
        <w:keepLines w:val="0"/>
        <w:widowControl w:val="0"/>
        <w:shd w:val="clear" w:color="auto" w:fill="auto"/>
        <w:bidi w:val="0"/>
        <w:spacing w:before="0" w:after="370" w:line="240" w:lineRule="auto"/>
        <w:ind w:left="0" w:right="0" w:firstLine="0"/>
        <w:jc w:val="right"/>
        <w:rPr>
          <w:sz w:val="28"/>
          <w:szCs w:val="28"/>
        </w:rPr>
      </w:pPr>
      <w:r>
        <w:drawing>
          <wp:anchor distT="0" distB="0" distL="114300" distR="1921510" simplePos="0" relativeHeight="125829383" behindDoc="0" locked="0" layoutInCell="1" allowOverlap="1">
            <wp:simplePos x="0" y="0"/>
            <wp:positionH relativeFrom="page">
              <wp:posOffset>2680970</wp:posOffset>
            </wp:positionH>
            <wp:positionV relativeFrom="paragraph">
              <wp:posOffset>76200</wp:posOffset>
            </wp:positionV>
            <wp:extent cx="311150" cy="359410"/>
            <wp:wrapSquare wrapText="right"/>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3"/>
                    <a:stretch/>
                  </pic:blipFill>
                  <pic:spPr>
                    <a:xfrm>
                      <a:ext cx="311150" cy="3594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146050</wp:posOffset>
                </wp:positionV>
                <wp:extent cx="1725295" cy="255905"/>
                <wp:wrapNone/>
                <wp:docPr id="18" name="Shape 18"/>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42.05000000000001pt;margin-top:11.5pt;width:135.84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Е.Н. Сарсенбаева</w:t>
      </w:r>
    </w:p>
    <w:p>
      <w:pPr>
        <w:pStyle w:val="Style34"/>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p>
      <w:pPr>
        <w:pStyle w:val="Style36"/>
        <w:keepNext w:val="0"/>
        <w:keepLines w:val="0"/>
        <w:widowControl w:val="0"/>
        <w:shd w:val="clear" w:color="auto" w:fill="auto"/>
        <w:bidi w:val="0"/>
        <w:spacing w:before="0" w:after="0" w:line="240" w:lineRule="auto"/>
        <w:ind w:right="0" w:firstLine="0"/>
        <w:jc w:val="left"/>
        <w:rPr>
          <w:sz w:val="10"/>
          <w:szCs w:val="10"/>
        </w:rPr>
      </w:pPr>
      <w:r>
        <w:rPr>
          <w:spacing w:val="0"/>
          <w:w w:val="100"/>
          <w:position w:val="0"/>
          <w:sz w:val="11"/>
          <w:szCs w:val="11"/>
          <w:shd w:val="clear" w:color="auto" w:fill="auto"/>
          <w:lang w:val="ru-RU" w:eastAsia="ru-RU" w:bidi="ru-RU"/>
        </w:rPr>
        <w:t xml:space="preserve">Кому выдан: </w:t>
      </w:r>
      <w:r>
        <w:rPr>
          <w:color w:val="000000"/>
          <w:spacing w:val="0"/>
          <w:w w:val="100"/>
          <w:position w:val="0"/>
          <w:sz w:val="10"/>
          <w:szCs w:val="10"/>
          <w:shd w:val="clear" w:color="auto" w:fill="auto"/>
          <w:lang w:val="ru-RU" w:eastAsia="ru-RU" w:bidi="ru-RU"/>
        </w:rPr>
        <w:t>Сарсенбаева Екатерина Николаевна</w:t>
      </w:r>
    </w:p>
    <w:p>
      <w:pPr>
        <w:pStyle w:val="Style36"/>
        <w:keepNext w:val="0"/>
        <w:keepLines w:val="0"/>
        <w:widowControl w:val="0"/>
        <w:shd w:val="clear" w:color="auto" w:fill="auto"/>
        <w:bidi w:val="0"/>
        <w:spacing w:before="0" w:after="0" w:line="240" w:lineRule="auto"/>
        <w:ind w:right="0" w:firstLine="0"/>
        <w:jc w:val="left"/>
      </w:pPr>
      <w:r>
        <w:rPr>
          <w:color w:val="3A3A3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A3A3A"/>
          <w:spacing w:val="0"/>
          <w:w w:val="100"/>
          <w:position w:val="0"/>
          <w:shd w:val="clear" w:color="auto" w:fill="auto"/>
          <w:lang w:val="ru-RU" w:eastAsia="ru-RU" w:bidi="ru-RU"/>
        </w:rPr>
        <w:t>ООВА77РГ376ВОЕ59С49Р61</w:t>
      </w:r>
      <w:r>
        <w:rPr>
          <w:spacing w:val="0"/>
          <w:w w:val="100"/>
          <w:position w:val="0"/>
          <w:shd w:val="clear" w:color="auto" w:fill="auto"/>
          <w:lang w:val="ru-RU" w:eastAsia="ru-RU" w:bidi="ru-RU"/>
        </w:rPr>
        <w:t>ЕЕ26В79А7В07</w:t>
      </w:r>
    </w:p>
    <w:p>
      <w:pPr>
        <w:pStyle w:val="Style36"/>
        <w:keepNext w:val="0"/>
        <w:keepLines w:val="0"/>
        <w:widowControl w:val="0"/>
        <w:shd w:val="clear" w:color="auto" w:fill="auto"/>
        <w:bidi w:val="0"/>
        <w:spacing w:before="0" w:after="2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14.02.2023 </w:t>
      </w:r>
      <w:r>
        <w:rPr>
          <w:color w:val="3A3A3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09.05.2024</w:t>
      </w:r>
    </w:p>
    <w:p>
      <w:pPr>
        <w:pStyle w:val="Style15"/>
        <w:keepNext w:val="0"/>
        <w:keepLines w:val="0"/>
        <w:widowControl w:val="0"/>
        <w:shd w:val="clear" w:color="auto" w:fill="auto"/>
        <w:bidi w:val="0"/>
        <w:spacing w:before="0" w:after="370" w:line="240" w:lineRule="auto"/>
        <w:ind w:left="0" w:right="0" w:firstLine="0"/>
        <w:jc w:val="right"/>
        <w:rPr>
          <w:sz w:val="28"/>
          <w:szCs w:val="28"/>
        </w:rPr>
      </w:pPr>
      <w:r>
        <w:drawing>
          <wp:anchor distT="0" distB="0" distL="114300" distR="1921510" simplePos="0" relativeHeight="125829384" behindDoc="0" locked="0" layoutInCell="1" allowOverlap="1">
            <wp:simplePos x="0" y="0"/>
            <wp:positionH relativeFrom="page">
              <wp:posOffset>2680970</wp:posOffset>
            </wp:positionH>
            <wp:positionV relativeFrom="paragraph">
              <wp:posOffset>76200</wp:posOffset>
            </wp:positionV>
            <wp:extent cx="311150" cy="365760"/>
            <wp:wrapSquare wrapText="right"/>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5"/>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3074035</wp:posOffset>
                </wp:positionH>
                <wp:positionV relativeFrom="paragraph">
                  <wp:posOffset>149225</wp:posOffset>
                </wp:positionV>
                <wp:extent cx="1725295" cy="255905"/>
                <wp:wrapNone/>
                <wp:docPr id="22" name="Shape 22"/>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42.05000000000001pt;margin-top:11.75pt;width:135.84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Д.Ф. Гареева</w:t>
      </w:r>
    </w:p>
    <w:p>
      <w:pPr>
        <w:pStyle w:val="Style3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36"/>
        <w:keepNext w:val="0"/>
        <w:keepLines w:val="0"/>
        <w:widowControl w:val="0"/>
        <w:shd w:val="clear" w:color="auto" w:fill="auto"/>
        <w:bidi w:val="0"/>
        <w:spacing w:before="0" w:after="0" w:line="240" w:lineRule="auto"/>
        <w:ind w:right="0" w:firstLine="0"/>
        <w:jc w:val="left"/>
        <w:rPr>
          <w:sz w:val="10"/>
          <w:szCs w:val="10"/>
        </w:rPr>
      </w:pPr>
      <w:r>
        <w:rPr>
          <w:spacing w:val="0"/>
          <w:w w:val="100"/>
          <w:position w:val="0"/>
          <w:sz w:val="11"/>
          <w:szCs w:val="11"/>
          <w:shd w:val="clear" w:color="auto" w:fill="auto"/>
          <w:lang w:val="ru-RU" w:eastAsia="ru-RU" w:bidi="ru-RU"/>
        </w:rPr>
        <w:t xml:space="preserve">Кому выдан: </w:t>
      </w:r>
      <w:r>
        <w:rPr>
          <w:color w:val="000000"/>
          <w:spacing w:val="0"/>
          <w:w w:val="100"/>
          <w:position w:val="0"/>
          <w:sz w:val="10"/>
          <w:szCs w:val="10"/>
          <w:shd w:val="clear" w:color="auto" w:fill="auto"/>
          <w:lang w:val="ru-RU" w:eastAsia="ru-RU" w:bidi="ru-RU"/>
        </w:rPr>
        <w:t>Гареева Динара Флариковна</w:t>
      </w:r>
    </w:p>
    <w:p>
      <w:pPr>
        <w:pStyle w:val="Style36"/>
        <w:keepNext w:val="0"/>
        <w:keepLines w:val="0"/>
        <w:widowControl w:val="0"/>
        <w:shd w:val="clear" w:color="auto" w:fill="auto"/>
        <w:bidi w:val="0"/>
        <w:spacing w:before="0" w:after="0" w:line="240" w:lineRule="auto"/>
        <w:ind w:right="0" w:firstLine="0"/>
        <w:jc w:val="left"/>
      </w:pPr>
      <w:r>
        <w:rPr>
          <w:color w:val="3A3A3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ООЕ6486СС7ЕС9АСЗООА8А53САСЕОЕСЗЕ</w:t>
      </w:r>
      <w:r>
        <w:rPr>
          <w:spacing w:val="0"/>
          <w:w w:val="100"/>
          <w:position w:val="0"/>
          <w:shd w:val="clear" w:color="auto" w:fill="auto"/>
          <w:lang w:val="ru-RU" w:eastAsia="ru-RU" w:bidi="ru-RU"/>
        </w:rPr>
        <w:t>О</w:t>
      </w:r>
    </w:p>
    <w:p>
      <w:pPr>
        <w:pStyle w:val="Style36"/>
        <w:keepNext w:val="0"/>
        <w:keepLines w:val="0"/>
        <w:widowControl w:val="0"/>
        <w:shd w:val="clear" w:color="auto" w:fill="auto"/>
        <w:bidi w:val="0"/>
        <w:spacing w:before="0" w:after="600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14.02.2023 </w:t>
      </w:r>
      <w:r>
        <w:rPr>
          <w:color w:val="3A3A3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09.05.2024</w:t>
      </w:r>
    </w:p>
    <w:p>
      <w:pPr>
        <w:pStyle w:val="Style1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Исп.Гареева Д.Ф. тел.8(351) 264-50-43</w:t>
      </w:r>
    </w:p>
    <w:sectPr>
      <w:footnotePr>
        <w:pos w:val="pageBottom"/>
        <w:numFmt w:val="decimal"/>
        <w:numRestart w:val="continuous"/>
      </w:footnotePr>
      <w:type w:val="continuous"/>
      <w:pgSz w:w="11900" w:h="16840"/>
      <w:pgMar w:top="774" w:right="546" w:bottom="9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722630</wp:posOffset>
              </wp:positionH>
              <wp:positionV relativeFrom="page">
                <wp:posOffset>10066655</wp:posOffset>
              </wp:positionV>
              <wp:extent cx="648970" cy="100330"/>
              <wp:wrapNone/>
              <wp:docPr id="4" name="Shape 4"/>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2023-6506</w:t>
                          </w:r>
                        </w:p>
                      </w:txbxContent>
                    </wps:txbx>
                    <wps:bodyPr wrap="none" lIns="0" tIns="0" rIns="0" bIns="0">
                      <a:spAutoFit/>
                    </wps:bodyPr>
                  </wps:wsp>
                </a:graphicData>
              </a:graphic>
            </wp:anchor>
          </w:drawing>
        </mc:Choice>
        <mc:Fallback>
          <w:pict>
            <v:shape id="_x0000_s1030" type="#_x0000_t202" style="position:absolute;margin-left:56.899999999999999pt;margin-top:792.64999999999998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2023-6506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10314940</wp:posOffset>
              </wp:positionV>
              <wp:extent cx="648970" cy="100330"/>
              <wp:wrapNone/>
              <wp:docPr id="6" name="Shape 6"/>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2023-6506</w:t>
                          </w:r>
                        </w:p>
                      </w:txbxContent>
                    </wps:txbx>
                    <wps:bodyPr wrap="none" lIns="0" tIns="0" rIns="0" bIns="0">
                      <a:spAutoFit/>
                    </wps:bodyPr>
                  </wps:wsp>
                </a:graphicData>
              </a:graphic>
            </wp:anchor>
          </w:drawing>
        </mc:Choice>
        <mc:Fallback>
          <w:pict>
            <v:shape id="_x0000_s1032" type="#_x0000_t202" style="position:absolute;margin-left:57.pt;margin-top:812.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2023-6506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3900170</wp:posOffset>
              </wp:positionH>
              <wp:positionV relativeFrom="page">
                <wp:posOffset>179070</wp:posOffset>
              </wp:positionV>
              <wp:extent cx="128270" cy="103505"/>
              <wp:wrapNone/>
              <wp:docPr id="2" name="Shape 2"/>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7.10000000000002pt;margin-top:14.1pt;width:10.1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2">
    <w:multiLevelType w:val="multilevel"/>
    <w:lvl w:ilvl="0">
      <w:start w:val="1"/>
      <w:numFmt w:val="decimal"/>
      <w:lvlText w:val="%1."/>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4">
    <w:multiLevelType w:val="multilevel"/>
    <w:lvl w:ilvl="0">
      <w:start w:val="1"/>
      <w:numFmt w:val="decimal"/>
      <w:lvlText w:val="%1."/>
    </w:lvl>
    <w:lvl w:ilvl="1">
      <w:start w:val="5"/>
      <w:numFmt w:val="decimal"/>
      <w:lvlText w:val="%1.%2."/>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0">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A6198"/>
      <w:sz w:val="19"/>
      <w:szCs w:val="19"/>
      <w:u w:val="none"/>
    </w:rPr>
  </w:style>
  <w:style w:type="character" w:customStyle="1" w:styleId="CharStyle10">
    <w:name w:val="Заголовок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Основной текст (5)_"/>
    <w:basedOn w:val="DefaultParagraphFont"/>
    <w:link w:val="Style12"/>
    <w:rPr>
      <w:rFonts w:ascii="Times New Roman" w:eastAsia="Times New Roman" w:hAnsi="Times New Roman" w:cs="Times New Roman"/>
      <w:b w:val="0"/>
      <w:bCs w:val="0"/>
      <w:i w:val="0"/>
      <w:iCs w:val="0"/>
      <w:smallCaps w:val="0"/>
      <w:strike w:val="0"/>
      <w:sz w:val="22"/>
      <w:szCs w:val="22"/>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Подпись к картинке_"/>
    <w:basedOn w:val="DefaultParagraphFont"/>
    <w:link w:val="Style19"/>
    <w:rPr>
      <w:rFonts w:ascii="Georgia" w:eastAsia="Georgia" w:hAnsi="Georgia" w:cs="Georgia"/>
      <w:b w:val="0"/>
      <w:bCs w:val="0"/>
      <w:i w:val="0"/>
      <w:iCs w:val="0"/>
      <w:smallCaps w:val="0"/>
      <w:strike w:val="0"/>
      <w:color w:val="262626"/>
      <w:sz w:val="11"/>
      <w:szCs w:val="11"/>
      <w:u w:val="none"/>
    </w:rPr>
  </w:style>
  <w:style w:type="character" w:customStyle="1" w:styleId="CharStyle23">
    <w:name w:val="Другое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35">
    <w:name w:val="Основной текст (4)_"/>
    <w:basedOn w:val="DefaultParagraphFont"/>
    <w:link w:val="Style34"/>
    <w:rPr>
      <w:rFonts w:ascii="Georgia" w:eastAsia="Georgia" w:hAnsi="Georgia" w:cs="Georgia"/>
      <w:b w:val="0"/>
      <w:bCs w:val="0"/>
      <w:i w:val="0"/>
      <w:iCs w:val="0"/>
      <w:smallCaps w:val="0"/>
      <w:strike w:val="0"/>
      <w:color w:val="E8E8E8"/>
      <w:sz w:val="12"/>
      <w:szCs w:val="12"/>
      <w:u w:val="none"/>
    </w:rPr>
  </w:style>
  <w:style w:type="character" w:customStyle="1" w:styleId="CharStyle37">
    <w:name w:val="Основной текст (2)_"/>
    <w:basedOn w:val="DefaultParagraphFont"/>
    <w:link w:val="Style36"/>
    <w:rPr>
      <w:rFonts w:ascii="Arial" w:eastAsia="Arial" w:hAnsi="Arial" w:cs="Arial"/>
      <w:b w:val="0"/>
      <w:bCs w:val="0"/>
      <w:i w:val="0"/>
      <w:iCs w:val="0"/>
      <w:smallCaps w:val="0"/>
      <w:strike w:val="0"/>
      <w:color w:val="606060"/>
      <w:sz w:val="11"/>
      <w:szCs w:val="11"/>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80" w:line="266" w:lineRule="auto"/>
      <w:jc w:val="center"/>
    </w:pPr>
    <w:rPr>
      <w:rFonts w:ascii="Times New Roman" w:eastAsia="Times New Roman" w:hAnsi="Times New Roman" w:cs="Times New Roman"/>
      <w:b/>
      <w:bCs/>
      <w:i w:val="0"/>
      <w:iCs w:val="0"/>
      <w:smallCaps w:val="0"/>
      <w:strike w:val="0"/>
      <w:color w:val="4A6198"/>
      <w:sz w:val="19"/>
      <w:szCs w:val="19"/>
      <w:u w:val="none"/>
    </w:rPr>
  </w:style>
  <w:style w:type="paragraph" w:customStyle="1" w:styleId="Style9">
    <w:name w:val="Заголовок №1"/>
    <w:basedOn w:val="Normal"/>
    <w:link w:val="CharStyle10"/>
    <w:pPr>
      <w:widowControl w:val="0"/>
      <w:shd w:val="clear" w:color="auto" w:fill="auto"/>
      <w:spacing w:after="320"/>
      <w:ind w:firstLine="140"/>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Основной текст (5)"/>
    <w:basedOn w:val="Normal"/>
    <w:link w:val="CharStyle13"/>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Подпись к картинке"/>
    <w:basedOn w:val="Normal"/>
    <w:link w:val="CharStyle20"/>
    <w:pPr>
      <w:widowControl w:val="0"/>
      <w:shd w:val="clear" w:color="auto" w:fill="auto"/>
    </w:pPr>
    <w:rPr>
      <w:rFonts w:ascii="Georgia" w:eastAsia="Georgia" w:hAnsi="Georgia" w:cs="Georgia"/>
      <w:b w:val="0"/>
      <w:bCs w:val="0"/>
      <w:i w:val="0"/>
      <w:iCs w:val="0"/>
      <w:smallCaps w:val="0"/>
      <w:strike w:val="0"/>
      <w:color w:val="262626"/>
      <w:sz w:val="11"/>
      <w:szCs w:val="11"/>
      <w:u w:val="none"/>
    </w:rPr>
  </w:style>
  <w:style w:type="paragraph" w:customStyle="1" w:styleId="Style22">
    <w:name w:val="Другое"/>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34">
    <w:name w:val="Основной текст (4)"/>
    <w:basedOn w:val="Normal"/>
    <w:link w:val="CharStyle35"/>
    <w:pPr>
      <w:widowControl w:val="0"/>
      <w:shd w:val="clear" w:color="auto" w:fill="auto"/>
      <w:spacing w:after="100"/>
      <w:ind w:left="3820"/>
    </w:pPr>
    <w:rPr>
      <w:rFonts w:ascii="Georgia" w:eastAsia="Georgia" w:hAnsi="Georgia" w:cs="Georgia"/>
      <w:b w:val="0"/>
      <w:bCs w:val="0"/>
      <w:i w:val="0"/>
      <w:iCs w:val="0"/>
      <w:smallCaps w:val="0"/>
      <w:strike w:val="0"/>
      <w:color w:val="E8E8E8"/>
      <w:sz w:val="12"/>
      <w:szCs w:val="12"/>
      <w:u w:val="none"/>
    </w:rPr>
  </w:style>
  <w:style w:type="paragraph" w:customStyle="1" w:styleId="Style36">
    <w:name w:val="Основной текст (2)"/>
    <w:basedOn w:val="Normal"/>
    <w:link w:val="CharStyle37"/>
    <w:pPr>
      <w:widowControl w:val="0"/>
      <w:shd w:val="clear" w:color="auto" w:fill="auto"/>
      <w:ind w:left="3100"/>
    </w:pPr>
    <w:rPr>
      <w:rFonts w:ascii="Arial" w:eastAsia="Arial" w:hAnsi="Arial" w:cs="Arial"/>
      <w:b w:val="0"/>
      <w:bCs w:val="0"/>
      <w:i w:val="0"/>
      <w:iCs w:val="0"/>
      <w:smallCaps w:val="0"/>
      <w:strike w:val="0"/>
      <w:color w:val="606060"/>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