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5"/>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(319) 211-01-14</w:t>
        <w:br/>
        <w:t>е-таП: 1о24й</w:t>
      </w:r>
      <w:r>
        <w:rPr>
          <w:spacing w:val="0"/>
          <w:w w:val="100"/>
          <w:position w:val="0"/>
          <w:shd w:val="clear" w:color="auto" w:fill="auto"/>
          <w:vertAlign w:val="subscript"/>
          <w:lang w:val="ru-RU" w:eastAsia="ru-RU" w:bidi="ru-RU"/>
        </w:rPr>
        <w:t>;</w:t>
      </w:r>
      <w:r>
        <w:rPr>
          <w:spacing w:val="0"/>
          <w:w w:val="100"/>
          <w:position w:val="0"/>
          <w:shd w:val="clear" w:color="auto" w:fill="auto"/>
          <w:lang w:val="ru-RU" w:eastAsia="ru-RU" w:bidi="ru-RU"/>
        </w:rPr>
        <w:t>Таа.ао\'.ги</w:t>
      </w:r>
    </w:p>
    <w:p>
      <w:pPr>
        <w:pStyle w:val="Style8"/>
        <w:keepNext w:val="0"/>
        <w:keepLines w:val="0"/>
        <w:widowControl w:val="0"/>
        <w:shd w:val="clear" w:color="auto" w:fill="auto"/>
        <w:tabs>
          <w:tab w:leader="underscore" w:pos="1762" w:val="left"/>
          <w:tab w:leader="underscore" w:pos="3926" w:val="left"/>
        </w:tabs>
        <w:bidi w:val="0"/>
        <w:spacing w:before="0" w:after="240" w:line="264" w:lineRule="auto"/>
        <w:ind w:left="0" w:right="0" w:firstLine="0"/>
        <w:jc w:val="both"/>
        <w:rPr>
          <w:sz w:val="18"/>
          <w:szCs w:val="18"/>
        </w:rPr>
      </w:pPr>
      <w:r>
        <w:rPr>
          <w:b w:val="0"/>
          <w:bCs w:val="0"/>
          <w:spacing w:val="0"/>
          <w:w w:val="100"/>
          <w:position w:val="0"/>
          <w:sz w:val="18"/>
          <w:szCs w:val="18"/>
          <w:shd w:val="clear" w:color="auto" w:fill="auto"/>
          <w:lang w:val="ru-RU" w:eastAsia="ru-RU" w:bidi="ru-RU"/>
        </w:rPr>
        <w:tab/>
        <w:t xml:space="preserve"> №</w:t>
        <w:tab/>
      </w:r>
    </w:p>
    <w:p>
      <w:pPr>
        <w:pStyle w:val="Style1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3"/>
        <w:keepNext w:val="0"/>
        <w:keepLines w:val="0"/>
        <w:widowControl w:val="0"/>
        <w:shd w:val="clear" w:color="auto" w:fill="auto"/>
        <w:bidi w:val="0"/>
        <w:spacing w:before="0" w:after="0" w:line="252" w:lineRule="auto"/>
        <w:ind w:left="0" w:right="0" w:firstLine="0"/>
        <w:jc w:val="left"/>
      </w:pPr>
      <w:r>
        <w:rPr>
          <w:color w:val="000000"/>
          <w:spacing w:val="0"/>
          <w:w w:val="100"/>
          <w:position w:val="0"/>
          <w:shd w:val="clear" w:color="auto" w:fill="auto"/>
          <w:lang w:val="ru-RU" w:eastAsia="ru-RU" w:bidi="ru-RU"/>
        </w:rPr>
        <w:t>Агентство государственного заказа Красноярского края</w:t>
      </w:r>
    </w:p>
    <w:p>
      <w:pPr>
        <w:pStyle w:val="Style13"/>
        <w:keepNext w:val="0"/>
        <w:keepLines w:val="0"/>
        <w:widowControl w:val="0"/>
        <w:shd w:val="clear" w:color="auto" w:fill="auto"/>
        <w:bidi w:val="0"/>
        <w:spacing w:before="0" w:after="0" w:line="252" w:lineRule="auto"/>
        <w:ind w:left="0" w:right="0" w:firstLine="0"/>
        <w:jc w:val="left"/>
      </w:pPr>
      <w:r>
        <w:rPr>
          <w:color w:val="000000"/>
          <w:spacing w:val="0"/>
          <w:w w:val="100"/>
          <w:position w:val="0"/>
          <w:shd w:val="clear" w:color="auto" w:fill="auto"/>
          <w:lang w:val="ru-RU" w:eastAsia="ru-RU" w:bidi="ru-RU"/>
        </w:rPr>
        <w:t>пр. Мира, 10, г. Красноярск, 660049 адг_рпет@тай.ги;</w:t>
      </w:r>
    </w:p>
    <w:p>
      <w:pPr>
        <w:pStyle w:val="Style13"/>
        <w:keepNext w:val="0"/>
        <w:keepLines w:val="0"/>
        <w:widowControl w:val="0"/>
        <w:shd w:val="clear" w:color="auto" w:fill="auto"/>
        <w:bidi w:val="0"/>
        <w:spacing w:before="0" w:after="280" w:line="252" w:lineRule="auto"/>
        <w:ind w:left="0" w:right="0" w:firstLine="0"/>
        <w:jc w:val="left"/>
      </w:pPr>
      <w:r>
        <w:rPr>
          <w:color w:val="000000"/>
          <w:spacing w:val="0"/>
          <w:w w:val="100"/>
          <w:position w:val="0"/>
          <w:shd w:val="clear" w:color="auto" w:fill="auto"/>
          <w:lang w:val="ru-RU" w:eastAsia="ru-RU" w:bidi="ru-RU"/>
        </w:rPr>
        <w:t>адx_Ьеди8кеVа@та^1.^и</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«Медиком»</w:t>
      </w:r>
    </w:p>
    <w:p>
      <w:pPr>
        <w:pStyle w:val="Style13"/>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ул. Нагорная, д. 31, к. 6,13, г. Москва, 117186 те&amp;сот@те&amp;сот77.ги</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КГБУЗ «КГП № 14»</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ул. Воронова, д. 35Г, г. Красноярск, 660112 тай@др14.ги;</w:t>
      </w:r>
    </w:p>
    <w:p>
      <w:pPr>
        <w:pStyle w:val="Style13"/>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д1Ьикдр14@уап^ех.ги</w:t>
      </w:r>
    </w:p>
    <w:p>
      <w:pPr>
        <w:pStyle w:val="Style13"/>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ЭТП Газпромбанк ул. Якиманская набережная, 2, г. Москва, 119180 тГо@е1рдрЬ.ш</w:t>
      </w:r>
    </w:p>
    <w:p>
      <w:pPr>
        <w:pStyle w:val="Style13"/>
        <w:keepNext w:val="0"/>
        <w:keepLines w:val="0"/>
        <w:widowControl w:val="0"/>
        <w:shd w:val="clear" w:color="auto" w:fill="auto"/>
        <w:bidi w:val="0"/>
        <w:spacing w:before="0" w:after="0" w:line="240" w:lineRule="auto"/>
        <w:ind w:left="0" w:right="0" w:firstLine="0"/>
        <w:jc w:val="left"/>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284" w:right="1146" w:bottom="1231" w:left="1140" w:header="0" w:footer="3" w:gutter="0"/>
          <w:pgNumType w:start="1"/>
          <w:cols w:num="2" w:space="907"/>
          <w:noEndnote/>
          <w:titlePg/>
          <w:rtlGutter w:val="0"/>
          <w:docGrid w:linePitch="360"/>
        </w:sectPr>
      </w:pPr>
      <w:r>
        <w:rPr>
          <w:color w:val="000000"/>
          <w:spacing w:val="0"/>
          <w:w w:val="100"/>
          <w:position w:val="0"/>
          <w:shd w:val="clear" w:color="auto" w:fill="auto"/>
          <w:lang w:val="ru-RU" w:eastAsia="ru-RU" w:bidi="ru-RU"/>
        </w:rPr>
        <w:t>Извещение №0119200000123006162</w:t>
      </w:r>
    </w:p>
    <w:p>
      <w:pPr>
        <w:widowControl w:val="0"/>
        <w:spacing w:line="144" w:lineRule="exact"/>
        <w:rPr>
          <w:sz w:val="12"/>
          <w:szCs w:val="12"/>
        </w:rPr>
      </w:pPr>
    </w:p>
    <w:p>
      <w:pPr>
        <w:widowControl w:val="0"/>
        <w:spacing w:line="1" w:lineRule="exact"/>
        <w:sectPr>
          <w:footnotePr>
            <w:pos w:val="pageBottom"/>
            <w:numFmt w:val="decimal"/>
            <w:numRestart w:val="continuous"/>
          </w:footnotePr>
          <w:type w:val="continuous"/>
          <w:pgSz w:w="11900" w:h="16840"/>
          <w:pgMar w:top="885" w:right="0" w:bottom="830" w:left="0" w:header="0" w:footer="3" w:gutter="0"/>
          <w:cols w:space="720"/>
          <w:noEndnote/>
          <w:rtlGutter w:val="0"/>
          <w:docGrid w:linePitch="360"/>
        </w:sectPr>
      </w:pPr>
    </w:p>
    <w:p>
      <w:pPr>
        <w:pStyle w:val="Style13"/>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Решение №024/06/106-1176/2023</w:t>
      </w:r>
    </w:p>
    <w:p>
      <w:pPr>
        <w:pStyle w:val="Style13"/>
        <w:keepNext w:val="0"/>
        <w:keepLines w:val="0"/>
        <w:widowControl w:val="0"/>
        <w:shd w:val="clear" w:color="auto" w:fill="auto"/>
        <w:bidi w:val="0"/>
        <w:spacing w:before="0" w:after="28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6167755</wp:posOffset>
                </wp:positionH>
                <wp:positionV relativeFrom="paragraph">
                  <wp:posOffset>12700</wp:posOffset>
                </wp:positionV>
                <wp:extent cx="1017905" cy="237490"/>
                <wp:wrapSquare wrapText="left"/>
                <wp:docPr id="9" name="Shape 9"/>
                <a:graphic xmlns:a="http://schemas.openxmlformats.org/drawingml/2006/main">
                  <a:graphicData uri="http://schemas.microsoft.com/office/word/2010/wordprocessingShape">
                    <wps:wsp>
                      <wps:cNvSpPr txBox="1"/>
                      <wps:spPr>
                        <a:xfrm>
                          <a:ext cx="1017905" cy="23749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Красноясрк</w:t>
                            </w:r>
                          </w:p>
                        </w:txbxContent>
                      </wps:txbx>
                      <wps:bodyPr wrap="none" lIns="0" tIns="0" rIns="0" bIns="0">
                        <a:noAutoFit/>
                      </wps:bodyPr>
                    </wps:wsp>
                  </a:graphicData>
                </a:graphic>
              </wp:anchor>
            </w:drawing>
          </mc:Choice>
          <mc:Fallback>
            <w:pict>
              <v:shape id="_x0000_s1035" type="#_x0000_t202" style="position:absolute;margin-left:485.65000000000003pt;margin-top:1.pt;width:80.150000000000006pt;height:18.699999999999999pt;z-index:-125829375;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Красноясрк</w:t>
                      </w:r>
                    </w:p>
                  </w:txbxContent>
                </v:textbox>
                <w10:wrap type="square" side="left" anchorx="page"/>
              </v:shape>
            </w:pict>
          </mc:Fallback>
        </mc:AlternateContent>
      </w:r>
      <w:r>
        <w:rPr>
          <w:color w:val="000000"/>
          <w:spacing w:val="0"/>
          <w:w w:val="100"/>
          <w:position w:val="0"/>
          <w:shd w:val="clear" w:color="auto" w:fill="auto"/>
          <w:lang w:val="ru-RU" w:eastAsia="ru-RU" w:bidi="ru-RU"/>
        </w:rPr>
        <w:t>4 мая 2023 года</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Красноярского УФАС России по контролю в сфере закупок в составе: Временно исполняющего обязанности заместителя руководителя - начальника аналитического отдела, начальник контрольного отдела А.А. Кирилловой; членов Комиссии - главного специалиста-эксперта О.П. Чупруновой, главного специалиста- эксперта Е.О. Хорышева (далее - Комиссия), рассмотрев жалобу Общества с ограниченной ответственностью «Медиком» (далее - Податель жалобы) на действия Краевого государственного бюджетного учреждения здравоохранения «Красноярская городская поликлиника № 14» (далее - Заказчик), Агентства государственного заказа Красноярского края (далее - Уполномоченный орган) при определении поставщика (подрядчика, исполнителя) путем проведения электронного аукциона ЭА-№-6226/23 «Поставка медицинского оборудования (регистратор амбулаторный для мониторинга артериального давления) для нужд КГБУЗ «КГП №14» с извещением №0119200000123006162 (далее - Электронный аукцион), размещенного на электронной площадке Общества с ограниченной ответственностью «ЭТП Газпромбанк» (далее - Оператор электронной площадки), установила следующее.</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адрес Красноярского УФАС России поступила жалоба на действия субъектов контроля при проведении Электронного аукциона.</w:t>
      </w:r>
    </w:p>
    <w:p>
      <w:pPr>
        <w:pStyle w:val="Style13"/>
        <w:keepNext w:val="0"/>
        <w:keepLines w:val="0"/>
        <w:widowControl w:val="0"/>
        <w:shd w:val="clear" w:color="auto" w:fill="auto"/>
        <w:bidi w:val="0"/>
        <w:spacing w:before="0" w:after="340" w:line="240" w:lineRule="auto"/>
        <w:ind w:left="0" w:right="0" w:firstLine="700"/>
        <w:jc w:val="both"/>
      </w:pPr>
      <w:r>
        <w:rPr>
          <w:color w:val="000000"/>
          <w:spacing w:val="0"/>
          <w:w w:val="100"/>
          <w:position w:val="0"/>
          <w:shd w:val="clear" w:color="auto" w:fill="auto"/>
          <w:lang w:val="ru-RU" w:eastAsia="ru-RU" w:bidi="ru-RU"/>
        </w:rPr>
        <w:t>Существо жалобы: несоответствие извещения Электронного аукциона</w:t>
      </w:r>
    </w:p>
    <w:p>
      <w:pPr>
        <w:pStyle w:val="Style15"/>
        <w:keepNext/>
        <w:keepLines/>
        <w:widowControl w:val="0"/>
        <w:shd w:val="clear" w:color="auto" w:fill="auto"/>
        <w:bidi w:val="0"/>
        <w:spacing w:before="0" w:after="0" w:line="240" w:lineRule="auto"/>
        <w:ind w:left="0" w:right="0" w:firstLine="0"/>
        <w:jc w:val="left"/>
        <w:rPr>
          <w:sz w:val="26"/>
          <w:szCs w:val="26"/>
        </w:rPr>
      </w:pPr>
      <w:bookmarkStart w:id="0" w:name="bookmark0"/>
      <w:r>
        <w:rPr>
          <w:color w:val="000000"/>
          <w:spacing w:val="0"/>
          <w:w w:val="100"/>
          <w:position w:val="0"/>
          <w:sz w:val="32"/>
          <w:szCs w:val="32"/>
          <w:shd w:val="clear" w:color="auto" w:fill="auto"/>
          <w:lang w:val="ru-RU" w:eastAsia="ru-RU" w:bidi="ru-RU"/>
        </w:rPr>
        <w:t>111111111111111111111111</w:t>
      </w:r>
      <w:bookmarkEnd w:id="0"/>
      <w:r>
        <w:rPr>
          <w:color w:val="000000"/>
          <w:spacing w:val="0"/>
          <w:w w:val="100"/>
          <w:position w:val="0"/>
          <w:sz w:val="32"/>
          <w:szCs w:val="32"/>
          <w:shd w:val="clear" w:color="auto" w:fill="auto"/>
          <w:lang w:val="ru-RU" w:eastAsia="ru-RU" w:bidi="ru-RU"/>
        </w:rPr>
        <w:t xml:space="preserve"> </w:t>
      </w:r>
      <w:r>
        <w:rPr>
          <w:rStyle w:val="CharStyle14"/>
        </w:rPr>
        <w:t>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Жалоба подана в Красноярское УФАС России в срок, установленный частью 2 статьи 105 Закона о контрактной системе, соответствовала требованиям статьи 105 указанного закона, в связи с чем подлежала принятию к рассмотрению.</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адрес Заказчика, Уполномоченного органа, Подателя жалобы, Оператора электронной площадки были направлены уведомления о содержании жалобы с информацией о месте и времени рассмотрения жалобы.</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было назначено на 03.05.2023 в 9 часов 30 минут, в связи с необходимостью получения дополнительных пояснений от субъектов контроля Комиссией в рассмотрении жалобы был объявлен перерыв до 04.05.2023 до 16 часов 30 минут.</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После объявления перерыва на рассмотрении жалобы по существу присутствовал представитель Заказчика, представитель Подателя жалобы присутствовал на рассмотрении посредством видеоконференцсвязи.</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Из доводов Подателя жалобы следует, что Заказчиком в описание объекта закупки были неправомерно включены дополнительные характеристики, которые не учтены соответствующей позицией каталога товаров, работ, услуг (далее — КТРУ).</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информационно-телекоммуникационной сети Интернет (далее -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связи с возникшей потребностью Заказчика Уполномоченным органом были совершены действия по определению поставщика (подрядчика, исполнителя) путем проведения Электронного аукциона.</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Пункт 1 части 2 статьи 42 Закона о контрактной системе устанавливает, что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контактной системе.</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Проанализировав описание объекта закупки Электронного аукциона, Комиссия установила, что объектом закупки является поставка товара «Регистратор амбулаторный для мониторинга артериального давления».</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описании объекта закупки Электронного аукциона установлено, что закупаемое оборудование должно обеспечивать полное аппаратное и программное взаимодействие с имеющимся у Заказчика оборудованием и программным обеспечением торговой марки «Валента», эквивалент не предусмотрен, поскольку все оборудование должно быть интегрировано в имеющуюся информационную систему и базу данных Заказчика.</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Из довода жалобы следует, что указание на необходимость аппаратного и программного взаимодействия является указанием на дополнительную характеристику, которая не установлена в соответствующей позиции КТРУ. Кроме того, Податель </w:t>
      </w:r>
      <w:r>
        <w:rPr>
          <w:color w:val="000000"/>
          <w:spacing w:val="0"/>
          <w:w w:val="100"/>
          <w:position w:val="0"/>
          <w:shd w:val="clear" w:color="auto" w:fill="auto"/>
          <w:lang w:val="ru-RU" w:eastAsia="ru-RU" w:bidi="ru-RU"/>
        </w:rPr>
        <w:t>жалобы указывает, что программное взаимодействие подразумевает необходимость обеспечения программирования (настройки) амбулаторных регистраторов программным обеспечением торговой марки «Валента», что невозможно достичь при поставке оборудования отличного от торговой марки «Валента».</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Часть 6 статьи 23 Закона о контрастной системе устанавливает,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3"/>
        <w:keepNext w:val="0"/>
        <w:keepLines w:val="0"/>
        <w:widowControl w:val="0"/>
        <w:shd w:val="clear" w:color="auto" w:fill="auto"/>
        <w:tabs>
          <w:tab w:pos="2210" w:val="left"/>
          <w:tab w:pos="2950" w:val="left"/>
          <w:tab w:pos="3953" w:val="left"/>
          <w:tab w:pos="4490" w:val="left"/>
          <w:tab w:pos="5700" w:val="left"/>
          <w:tab w:pos="7716" w:val="left"/>
          <w:tab w:pos="872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w:t>
        <w:tab/>
        <w:t>нужд</w:t>
        <w:tab/>
        <w:t>(далее</w:t>
        <w:tab/>
        <w:t>—</w:t>
        <w:tab/>
        <w:t>Правила</w:t>
        <w:tab/>
        <w:t>формирования</w:t>
        <w:tab/>
        <w:t>КТРУ)</w:t>
        <w:tab/>
        <w:t>и Правила</w:t>
      </w:r>
    </w:p>
    <w:p>
      <w:pPr>
        <w:pStyle w:val="Style13"/>
        <w:keepNext w:val="0"/>
        <w:keepLines w:val="0"/>
        <w:widowControl w:val="0"/>
        <w:shd w:val="clear" w:color="auto" w:fill="auto"/>
        <w:tabs>
          <w:tab w:pos="2210" w:val="left"/>
          <w:tab w:pos="2950" w:val="left"/>
          <w:tab w:pos="3953" w:val="left"/>
          <w:tab w:pos="4490" w:val="left"/>
          <w:tab w:pos="5700" w:val="left"/>
          <w:tab w:pos="7716" w:val="left"/>
          <w:tab w:pos="8724" w:val="left"/>
        </w:tabs>
        <w:bidi w:val="0"/>
        <w:spacing w:before="0" w:after="0" w:line="240" w:lineRule="auto"/>
        <w:ind w:left="0" w:right="0" w:firstLine="0"/>
        <w:jc w:val="both"/>
      </w:pPr>
      <w:r>
        <w:rPr>
          <w:color w:val="000000"/>
          <w:spacing w:val="0"/>
          <w:w w:val="100"/>
          <w:position w:val="0"/>
          <w:shd w:val="clear" w:color="auto" w:fill="auto"/>
          <w:lang w:val="ru-RU" w:eastAsia="ru-RU" w:bidi="ru-RU"/>
        </w:rPr>
        <w:t>использования каталога товаров, работ, услуг для обеспечения государственных и муниципальных</w:t>
        <w:tab/>
        <w:t>нужд</w:t>
        <w:tab/>
        <w:t>(далее</w:t>
        <w:tab/>
        <w:t>—</w:t>
        <w:tab/>
        <w:t>Правила</w:t>
        <w:tab/>
        <w:t>использования</w:t>
        <w:tab/>
        <w:t>КТРУ)</w:t>
        <w:tab/>
        <w:t>утверждены</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Постановлением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Подпункт «г» пункта 10 Правил формирования КТРУ устанавливает, что в позицию каталога включается информация, содержащая описание товара, работы, услуги, если такое описание сформировано в соответствии с пунктом 13 Правил формирования КТРУ.</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Подпункт «в» пункта 4 Правил использования КТРУ устанавливает, что заказчики обязаны применять информацию, включенную в позицию каталога в соответствии с подпунктами «б» - «г» и «е» - «з» пункта 10 Правил формирования КТРУ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описание товара, работы, услуги (при наличии такого описания в позиции).</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Подпункт «а» пункта 5 Правил использования КТРУ устанавливает, что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 за исключением случая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w:t>
      </w:r>
      <w:r>
        <w:rPr>
          <w:color w:val="000000"/>
          <w:spacing w:val="0"/>
          <w:w w:val="100"/>
          <w:position w:val="0"/>
          <w:shd w:val="clear" w:color="auto" w:fill="auto"/>
          <w:lang w:val="ru-RU" w:eastAsia="ru-RU" w:bidi="ru-RU"/>
        </w:rPr>
        <w:t>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 878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Часть 3 статьи 14 Закона о контрактной системе устанавливает,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установлено, что в извещении Электронного аукциона Заказчиком установлено ограничение допуска в соответствии с Постановлением № 878.</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Пункт 3 Постановления № 878 устанавливает, что при осуществлении закупок радиоэлектронной продукции, включенной в перечень, за исключением установленного пунктом 3(1) Постановления № 878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Законом о контрактной системе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Установлено, что закупаемый Заказчиком товар включен в позицию 104 указанного перечня, ввиду чего ограничение допуска согласно Постановлению № 878 применено правомерно.</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Проанализировав извещение Электронного аукциона, Комиссия установила, что Заказчиком применен код КТРУ 26.60.12.129-00000202 «Регистратор амбулаторный для мониторинга артериального давления».</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проанализировала довод о том, что требование о совместимости с программным обеспечением торговой марки «Валента» не является эксплуатационной характеристикой, и пришла к следующему выводу.</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Позиция КТРУ 26.60.12.129-00000202 содержит обязательную для применения характеристику «Комплектация», включающую наличие программного обеспечения.</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Также в описании объекта закупки имеется указание «Комплектация, наличие программного обеспечения».</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Комиссия приходит к выводу, что программное обеспечение это неотъемлемая составная часть товара «Регистратор амбулаторный для длительного мониторинга артериального давления». Следовательно, закупая товар, заказчик автоматически приобретает программное обеспечение, с помощью которого реализуются процессы по фиксированию и обработке полученных данных.</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Указанное требование в описании объекта закупки фактически создаёт условие при котором к поставке может быть предложен только тот товар, который оснащен программным обеспечением «Валента», что может свидетельствовать о признаках ограничения конкуренции и нарушении статьи 8 Закона о контрактной системе, предусматривающей необходимость обеспечения конкуренции при проведении закупки.</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проанализированы иные позиции КТРУ (например, 26.60.11.113</w:t>
        <w:softHyphen/>
        <w:t>00000124, 26.60.12.119-00000945, 32.50.22.190-00005385) относящиеся к медицинским изделиям и установлено, что уполномоченный орган по формированию и ведению каталога товаров, работ и услуг определяет параметр «совместимость» как описание характеристики товара.</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Комиссия приходит у выводу, что установление Заказчиком требования о полном аппаратном и программном взаимодействии с имеющимся у заказчика оборудованием и программным обеспечением торговой марки «Валета» по своей сути является требованием о совместимости оборудования с программным обеспечением и образует характеристику товара, которая, не поименованна соответствующей позицией КТРУ.</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Кроме того, из пояснений Подателя жалобы следует, что независимо от того, на каком программном обеспечении функционирует медицинское оборудование, результат его работы будет доступен для просмотра и анализа на любом рабочем месте, на котором осуществляется работа на данном оборудовании. Доказательств обратного заказчиком не представлено при рассмотрении жалобы.</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Обстоятельство включения Заказчиком в описание объекта закупки электронного аукциона характеристик, которые не учтены соответствующей позицией КТРУ, свидетельствует о нарушении требований статьи 33 Закона о контрактной системе, пункта 1 части 2 статьи 42 Закона о контрактной системе, поскольку в составе извещения Электронного аукциона включено описание объекта закупки, которое составлено в нарушение Правил использования КТРУ.</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Представитель Заказчика на рассмотрении жалобы по существу после объявления перерыва с доводами жалобы согласился.</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Из письменных пояснений Заказчика, пояснений представителя Заказчика следует, что Заказчик не был осведомлен о возможности работы с файлами</w:t>
        <w:br w:type="page"/>
      </w:r>
      <w:r>
        <w:rPr>
          <w:color w:val="000000"/>
          <w:spacing w:val="0"/>
          <w:w w:val="100"/>
          <w:position w:val="0"/>
          <w:shd w:val="clear" w:color="auto" w:fill="auto"/>
          <w:lang w:val="ru-RU" w:eastAsia="ru-RU" w:bidi="ru-RU"/>
        </w:rPr>
        <w:t>исследований, которые формируются амбулаторными регистраторами, на программном обеспечении торговой марки «Валента», ввиду чего Заказчиком было указано на необходимость аппаратного и программного взаимодействия с имеющимся у Заказчика оборудованием и программным обеспечением торговой марки «Валента», что соответствует потребности Заказчика. Указанное свидетельствует об отсутствии вины в действиях субъектов контроля, что исключат признаки административного правонарушения в действиях Заказчика.</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вышеизложенных обстоятельств, в результате рассмотрения жалобы по существу и проведения внеплановой проверки, руководствуясь частями 3, 15, 22 статьи 99, частью 8 статьи 106 Закона о контрактной системе, Комиссия Красноярского УФАС России решила:</w:t>
      </w:r>
    </w:p>
    <w:p>
      <w:pPr>
        <w:pStyle w:val="Style13"/>
        <w:keepNext w:val="0"/>
        <w:keepLines w:val="0"/>
        <w:widowControl w:val="0"/>
        <w:numPr>
          <w:ilvl w:val="0"/>
          <w:numId w:val="1"/>
        </w:numPr>
        <w:shd w:val="clear" w:color="auto" w:fill="auto"/>
        <w:tabs>
          <w:tab w:pos="104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жалобу ООО «Медиком» обоснованной.</w:t>
      </w:r>
    </w:p>
    <w:p>
      <w:pPr>
        <w:pStyle w:val="Style13"/>
        <w:keepNext w:val="0"/>
        <w:keepLines w:val="0"/>
        <w:widowControl w:val="0"/>
        <w:numPr>
          <w:ilvl w:val="0"/>
          <w:numId w:val="1"/>
        </w:numPr>
        <w:shd w:val="clear" w:color="auto" w:fill="auto"/>
        <w:tabs>
          <w:tab w:pos="105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Заказчика нарушившим требования статьи 33, пункта 1 части 2 статьи 42 Закона о контрактной системе;</w:t>
      </w:r>
    </w:p>
    <w:p>
      <w:pPr>
        <w:pStyle w:val="Style13"/>
        <w:keepNext w:val="0"/>
        <w:keepLines w:val="0"/>
        <w:widowControl w:val="0"/>
        <w:numPr>
          <w:ilvl w:val="0"/>
          <w:numId w:val="1"/>
        </w:numPr>
        <w:shd w:val="clear" w:color="auto" w:fill="auto"/>
        <w:tabs>
          <w:tab w:pos="105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Выдать Заказчику предписание об устранении нарушений законодательства о контрактной системе, прав и законных интересов участников закупки путем внесения изменений в извещение Электронного аукциона.</w:t>
      </w:r>
    </w:p>
    <w:p>
      <w:pPr>
        <w:pStyle w:val="Style13"/>
        <w:keepNext w:val="0"/>
        <w:keepLines w:val="0"/>
        <w:widowControl w:val="0"/>
        <w:shd w:val="clear" w:color="auto" w:fill="auto"/>
        <w:bidi w:val="0"/>
        <w:spacing w:before="0" w:after="280" w:line="240" w:lineRule="auto"/>
        <w:ind w:left="0" w:right="0" w:firstLine="700"/>
        <w:jc w:val="both"/>
      </w:pPr>
      <w:r>
        <w:rPr>
          <w:color w:val="000000"/>
          <w:spacing w:val="0"/>
          <w:w w:val="100"/>
          <w:position w:val="0"/>
          <w:shd w:val="clear" w:color="auto" w:fill="auto"/>
          <w:lang w:val="ru-RU" w:eastAsia="ru-RU" w:bidi="ru-RU"/>
        </w:rPr>
        <w:t>Настоящее решение может быть обжаловано в арбитражный суд Красноярского края в течение трех месяцев со дня его принятия.</w:t>
      </w:r>
    </w:p>
    <w:p>
      <w:pPr>
        <w:pStyle w:val="Style13"/>
        <w:keepNext w:val="0"/>
        <w:keepLines w:val="0"/>
        <w:widowControl w:val="0"/>
        <w:shd w:val="clear" w:color="auto" w:fill="auto"/>
        <w:bidi w:val="0"/>
        <w:spacing w:before="0" w:after="280" w:line="240" w:lineRule="auto"/>
        <w:ind w:left="0" w:right="0" w:firstLine="0"/>
        <w:jc w:val="right"/>
      </w:pPr>
      <w:r>
        <mc:AlternateContent>
          <mc:Choice Requires="wps">
            <w:drawing>
              <wp:anchor distT="0" distB="0" distL="114300" distR="114300" simplePos="0" relativeHeight="125829380" behindDoc="0" locked="0" layoutInCell="1" allowOverlap="1">
                <wp:simplePos x="0" y="0"/>
                <wp:positionH relativeFrom="page">
                  <wp:posOffset>704850</wp:posOffset>
                </wp:positionH>
                <wp:positionV relativeFrom="paragraph">
                  <wp:posOffset>12700</wp:posOffset>
                </wp:positionV>
                <wp:extent cx="1795145" cy="631190"/>
                <wp:wrapSquare wrapText="right"/>
                <wp:docPr id="11" name="Shape 11"/>
                <a:graphic xmlns:a="http://schemas.openxmlformats.org/drawingml/2006/main">
                  <a:graphicData uri="http://schemas.microsoft.com/office/word/2010/wordprocessingShape">
                    <wps:wsp>
                      <wps:cNvSpPr txBox="1"/>
                      <wps:spPr>
                        <a:xfrm>
                          <a:ext cx="1795145" cy="631190"/>
                        </a:xfrm>
                        <a:prstGeom prst="rect"/>
                        <a:noFill/>
                      </wps:spPr>
                      <wps:txbx>
                        <w:txbxContent>
                          <w:p>
                            <w:pPr>
                              <w:pStyle w:val="Style13"/>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lIns="0" tIns="0" rIns="0" bIns="0">
                        <a:noAutoFit/>
                      </wps:bodyPr>
                    </wps:wsp>
                  </a:graphicData>
                </a:graphic>
              </wp:anchor>
            </w:drawing>
          </mc:Choice>
          <mc:Fallback>
            <w:pict>
              <v:shape id="_x0000_s1037" type="#_x0000_t202" style="position:absolute;margin-left:55.5pt;margin-top:1.pt;width:141.34999999999999pt;height:49.700000000000003pt;z-index:-125829373;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square" side="right" anchorx="page"/>
              </v:shape>
            </w:pict>
          </mc:Fallback>
        </mc:AlternateContent>
      </w:r>
      <w:r>
        <w:rPr>
          <w:color w:val="000000"/>
          <w:spacing w:val="0"/>
          <w:w w:val="100"/>
          <w:position w:val="0"/>
          <w:shd w:val="clear" w:color="auto" w:fill="auto"/>
          <w:lang w:val="ru-RU" w:eastAsia="ru-RU" w:bidi="ru-RU"/>
        </w:rPr>
        <w:t>А.А. Кириллова</w:t>
      </w:r>
    </w:p>
    <w:p>
      <w:pPr>
        <w:pStyle w:val="Style13"/>
        <w:keepNext w:val="0"/>
        <w:keepLines w:val="0"/>
        <w:widowControl w:val="0"/>
        <w:shd w:val="clear" w:color="auto" w:fill="auto"/>
        <w:bidi w:val="0"/>
        <w:spacing w:before="0" w:after="280" w:line="240" w:lineRule="auto"/>
        <w:ind w:left="0" w:right="0" w:firstLine="0"/>
        <w:jc w:val="right"/>
      </w:pPr>
      <w:r>
        <w:rPr>
          <w:color w:val="000000"/>
          <w:spacing w:val="0"/>
          <w:w w:val="100"/>
          <w:position w:val="0"/>
          <w:shd w:val="clear" w:color="auto" w:fill="auto"/>
          <w:lang w:val="ru-RU" w:eastAsia="ru-RU" w:bidi="ru-RU"/>
        </w:rPr>
        <w:t>О.П. Чупрунова</w:t>
      </w:r>
    </w:p>
    <w:p>
      <w:pPr>
        <w:pStyle w:val="Style13"/>
        <w:keepNext w:val="0"/>
        <w:keepLines w:val="0"/>
        <w:widowControl w:val="0"/>
        <w:shd w:val="clear" w:color="auto" w:fill="auto"/>
        <w:bidi w:val="0"/>
        <w:spacing w:before="0" w:after="280" w:line="240" w:lineRule="auto"/>
        <w:ind w:left="0" w:right="0" w:firstLine="0"/>
        <w:jc w:val="right"/>
        <w:sectPr>
          <w:footnotePr>
            <w:pos w:val="pageBottom"/>
            <w:numFmt w:val="decimal"/>
            <w:numRestart w:val="continuous"/>
          </w:footnotePr>
          <w:type w:val="continuous"/>
          <w:pgSz w:w="11900" w:h="16840"/>
          <w:pgMar w:top="885" w:right="542" w:bottom="830" w:left="1100" w:header="0" w:footer="3" w:gutter="0"/>
          <w:cols w:space="720"/>
          <w:noEndnote/>
          <w:rtlGutter w:val="0"/>
          <w:docGrid w:linePitch="360"/>
        </w:sectPr>
      </w:pPr>
      <w:r>
        <w:rPr>
          <w:color w:val="000000"/>
          <w:spacing w:val="0"/>
          <w:w w:val="100"/>
          <w:position w:val="0"/>
          <w:shd w:val="clear" w:color="auto" w:fill="auto"/>
          <w:lang w:val="ru-RU" w:eastAsia="ru-RU" w:bidi="ru-RU"/>
        </w:rPr>
        <w:t>Е.О. Хорышев</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 Хорышев Егор Олегович тел.(391) 211-01-44</w:t>
      </w:r>
    </w:p>
    <w:sectPr>
      <w:footnotePr>
        <w:pos w:val="pageBottom"/>
        <w:numFmt w:val="decimal"/>
        <w:numRestart w:val="continuous"/>
      </w:footnotePr>
      <w:pgSz w:w="11900" w:h="16840"/>
      <w:pgMar w:top="2780" w:right="546" w:bottom="278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723265</wp:posOffset>
              </wp:positionH>
              <wp:positionV relativeFrom="page">
                <wp:posOffset>10016490</wp:posOffset>
              </wp:positionV>
              <wp:extent cx="648970" cy="100330"/>
              <wp:wrapNone/>
              <wp:docPr id="5" name="Shape 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2023-8244</w:t>
                          </w:r>
                        </w:p>
                      </w:txbxContent>
                    </wps:txbx>
                    <wps:bodyPr wrap="none" lIns="0" tIns="0" rIns="0" bIns="0">
                      <a:spAutoFit/>
                    </wps:bodyPr>
                  </wps:wsp>
                </a:graphicData>
              </a:graphic>
            </wp:anchor>
          </w:drawing>
        </mc:Choice>
        <mc:Fallback>
          <w:pict>
            <v:shape id="_x0000_s1031" type="#_x0000_t202" style="position:absolute;margin-left:56.950000000000003pt;margin-top:788.7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2023-8244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9857740</wp:posOffset>
              </wp:positionV>
              <wp:extent cx="648970" cy="100330"/>
              <wp:wrapNone/>
              <wp:docPr id="7" name="Shape 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2023-8244</w:t>
                          </w:r>
                        </w:p>
                      </w:txbxContent>
                    </wps:txbx>
                    <wps:bodyPr wrap="none" lIns="0" tIns="0" rIns="0" bIns="0">
                      <a:spAutoFit/>
                    </wps:bodyPr>
                  </wps:wsp>
                </a:graphicData>
              </a:graphic>
            </wp:anchor>
          </w:drawing>
        </mc:Choice>
        <mc:Fallback>
          <w:pict>
            <v:shape id="_x0000_s1033" type="#_x0000_t202" style="position:absolute;margin-left:57.pt;margin-top:776.20000000000005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2023-8244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3926205</wp:posOffset>
              </wp:positionH>
              <wp:positionV relativeFrom="page">
                <wp:posOffset>682625</wp:posOffset>
              </wp:positionV>
              <wp:extent cx="64135" cy="103505"/>
              <wp:wrapNone/>
              <wp:docPr id="3" name="Shape 3"/>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15000000000003pt;margin-top:53.75pt;width:5.04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9">
    <w:name w:val="Основной текст (3)_"/>
    <w:basedOn w:val="DefaultParagraphFont"/>
    <w:link w:val="Style8"/>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12">
    <w:name w:val="Подпись к картинке_"/>
    <w:basedOn w:val="DefaultParagraphFont"/>
    <w:link w:val="Style11"/>
    <w:rPr>
      <w:rFonts w:ascii="Times New Roman" w:eastAsia="Times New Roman" w:hAnsi="Times New Roman" w:cs="Times New Roman"/>
      <w:b w:val="0"/>
      <w:bCs w:val="0"/>
      <w:i w:val="0"/>
      <w:iCs w:val="0"/>
      <w:smallCaps w:val="0"/>
      <w:strike w:val="0"/>
      <w:color w:val="4360A3"/>
      <w:sz w:val="18"/>
      <w:szCs w:val="18"/>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sz w:val="26"/>
      <w:szCs w:val="26"/>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2"/>
      <w:szCs w:val="32"/>
      <w:u w:val="none"/>
    </w:rPr>
  </w:style>
  <w:style w:type="character" w:customStyle="1" w:styleId="CharStyle18">
    <w:name w:val="Основной текст (4)_"/>
    <w:basedOn w:val="DefaultParagraphFont"/>
    <w:link w:val="Style17"/>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440" w:line="281"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8">
    <w:name w:val="Основной текст (3)"/>
    <w:basedOn w:val="Normal"/>
    <w:link w:val="CharStyle9"/>
    <w:pPr>
      <w:widowControl w:val="0"/>
      <w:shd w:val="clear" w:color="auto" w:fill="auto"/>
      <w:spacing w:after="180"/>
      <w:jc w:val="center"/>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11">
    <w:name w:val="Подпись к картинке"/>
    <w:basedOn w:val="Normal"/>
    <w:link w:val="CharStyle12"/>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360A3"/>
      <w:sz w:val="18"/>
      <w:szCs w:val="18"/>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5">
    <w:name w:val="Заголовок №1"/>
    <w:basedOn w:val="Normal"/>
    <w:link w:val="CharStyle16"/>
    <w:pPr>
      <w:widowControl w:val="0"/>
      <w:shd w:val="clear" w:color="auto" w:fill="auto"/>
      <w:spacing w:after="320"/>
      <w:outlineLvl w:val="0"/>
    </w:pPr>
    <w:rPr>
      <w:rFonts w:ascii="Arial" w:eastAsia="Arial" w:hAnsi="Arial" w:cs="Arial"/>
      <w:b w:val="0"/>
      <w:bCs w:val="0"/>
      <w:i w:val="0"/>
      <w:iCs w:val="0"/>
      <w:smallCaps w:val="0"/>
      <w:strike w:val="0"/>
      <w:sz w:val="32"/>
      <w:szCs w:val="32"/>
      <w:u w:val="none"/>
    </w:rPr>
  </w:style>
  <w:style w:type="paragraph" w:customStyle="1" w:styleId="Style17">
    <w:name w:val="Основной текст (4)"/>
    <w:basedOn w:val="Normal"/>
    <w:link w:val="CharStyle18"/>
    <w:pPr>
      <w:widowControl w:val="0"/>
      <w:shd w:val="clear" w:color="auto" w:fill="auto"/>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s>
</file>