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33675" distL="1165860" distR="976630" simplePos="0" relativeHeight="125829378" behindDoc="0" locked="0" layoutInCell="1" allowOverlap="1">
            <wp:simplePos x="0" y="0"/>
            <wp:positionH relativeFrom="page">
              <wp:posOffset>1779905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276985" distL="312420" distR="114300" simplePos="0" relativeHeight="125829379" behindDoc="0" locked="0" layoutInCell="1" allowOverlap="1">
                <wp:simplePos x="0" y="0"/>
                <wp:positionH relativeFrom="page">
                  <wp:posOffset>926465</wp:posOffset>
                </wp:positionH>
                <wp:positionV relativeFrom="paragraph">
                  <wp:posOffset>728980</wp:posOffset>
                </wp:positionV>
                <wp:extent cx="2249170" cy="1353185"/>
                <wp:wrapSquare wrapText="right"/>
                <wp:docPr id="3" name="Shape 3"/>
                <a:graphic xmlns:a="http://schemas.openxmlformats.org/drawingml/2006/main">
                  <a:graphicData uri="http://schemas.microsoft.com/office/word/2010/wordprocessingShape">
                    <wps:wsp>
                      <wps:cNvSpPr txBox="1"/>
                      <wps:spPr>
                        <a:xfrm>
                          <a:ext cx="2249170" cy="135318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1о26@Гав.{»оу.ги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950000000000003pt;margin-top:57.399999999999999pt;width:177.09999999999999pt;height:106.55pt;z-index:-125829374;mso-wrap-distance-left:24.600000000000001pt;mso-wrap-distance-top:56.399999999999999pt;mso-wrap-distance-right:9.pt;mso-wrap-distance-bottom:100.55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е-таП: 1о26@Гав.{»оу.ги</w:t>
                      </w:r>
                    </w:p>
                  </w:txbxContent>
                </v:textbox>
                <w10:wrap type="square" side="right" anchorx="page"/>
              </v:shape>
            </w:pict>
          </mc:Fallback>
        </mc:AlternateContent>
      </w:r>
      <w:r>
        <mc:AlternateContent>
          <mc:Choice Requires="wps">
            <w:drawing>
              <wp:anchor distT="2338070" distB="0" distL="114300" distR="1150620" simplePos="0" relativeHeight="125829381" behindDoc="0" locked="0" layoutInCell="1" allowOverlap="1">
                <wp:simplePos x="0" y="0"/>
                <wp:positionH relativeFrom="page">
                  <wp:posOffset>728345</wp:posOffset>
                </wp:positionH>
                <wp:positionV relativeFrom="paragraph">
                  <wp:posOffset>2350770</wp:posOffset>
                </wp:positionV>
                <wp:extent cx="1410970" cy="1009015"/>
                <wp:wrapSquare wrapText="right"/>
                <wp:docPr id="5" name="Shape 5"/>
                <a:graphic xmlns:a="http://schemas.openxmlformats.org/drawingml/2006/main">
                  <a:graphicData uri="http://schemas.microsoft.com/office/word/2010/wordprocessingShape">
                    <wps:wsp>
                      <wps:cNvSpPr txBox="1"/>
                      <wps:spPr>
                        <a:xfrm>
                          <a:ext cx="1410970" cy="1009015"/>
                        </a:xfrm>
                        <a:prstGeom prst="rect"/>
                        <a:noFill/>
                      </wps:spPr>
                      <wps:txbx>
                        <w:txbxContent>
                          <w:p>
                            <w:pPr>
                              <w:pStyle w:val="Style5"/>
                              <w:keepNext w:val="0"/>
                              <w:keepLines w:val="0"/>
                              <w:widowControl w:val="0"/>
                              <w:shd w:val="clear" w:color="auto" w:fill="auto"/>
                              <w:tabs>
                                <w:tab w:leader="underscore" w:pos="1762" w:val="left"/>
                              </w:tabs>
                              <w:bidi w:val="0"/>
                              <w:spacing w:before="0" w:after="24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r>
                          </w:p>
                          <w:p>
                            <w:pPr>
                              <w:pStyle w:val="Style5"/>
                              <w:keepNext w:val="0"/>
                              <w:keepLines w:val="0"/>
                              <w:widowControl w:val="0"/>
                              <w:shd w:val="clear" w:color="auto" w:fill="auto"/>
                              <w:bidi w:val="0"/>
                              <w:spacing w:before="0" w:after="58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after="40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928</w:t>
                            </w:r>
                          </w:p>
                        </w:txbxContent>
                      </wps:txbx>
                      <wps:bodyPr lIns="0" tIns="0" rIns="0" bIns="0">
                        <a:noAutoFit/>
                      </wps:bodyPr>
                    </wps:wsp>
                  </a:graphicData>
                </a:graphic>
              </wp:anchor>
            </w:drawing>
          </mc:Choice>
          <mc:Fallback>
            <w:pict>
              <v:shape id="_x0000_s1031" type="#_x0000_t202" style="position:absolute;margin-left:57.350000000000001pt;margin-top:185.09999999999999pt;width:111.10000000000001pt;height:79.450000000000003pt;z-index:-125829372;mso-wrap-distance-left:9.pt;mso-wrap-distance-top:184.09999999999999pt;mso-wrap-distance-right:90.600000000000009pt;mso-position-horizontal-relative:page" filled="f" stroked="f">
                <v:textbox inset="0,0,0,0">
                  <w:txbxContent>
                    <w:p>
                      <w:pPr>
                        <w:pStyle w:val="Style5"/>
                        <w:keepNext w:val="0"/>
                        <w:keepLines w:val="0"/>
                        <w:widowControl w:val="0"/>
                        <w:shd w:val="clear" w:color="auto" w:fill="auto"/>
                        <w:tabs>
                          <w:tab w:leader="underscore" w:pos="1762" w:val="left"/>
                        </w:tabs>
                        <w:bidi w:val="0"/>
                        <w:spacing w:before="0" w:after="24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r>
                    </w:p>
                    <w:p>
                      <w:pPr>
                        <w:pStyle w:val="Style5"/>
                        <w:keepNext w:val="0"/>
                        <w:keepLines w:val="0"/>
                        <w:widowControl w:val="0"/>
                        <w:shd w:val="clear" w:color="auto" w:fill="auto"/>
                        <w:bidi w:val="0"/>
                        <w:spacing w:before="0" w:after="58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8"/>
                        <w:keepNext w:val="0"/>
                        <w:keepLines w:val="0"/>
                        <w:widowControl w:val="0"/>
                        <w:shd w:val="clear" w:color="auto" w:fill="auto"/>
                        <w:bidi w:val="0"/>
                        <w:spacing w:before="0" w:after="40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928</w:t>
                      </w:r>
                    </w:p>
                  </w:txbxContent>
                </v:textbox>
                <w10:wrap type="square" side="right" anchorx="page"/>
              </v:shape>
            </w:pict>
          </mc:Fallback>
        </mc:AlternateConten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ГБУЗ СК "Краевой клинический кардиологический диспансер" 355000 Ставропольский край, г.</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Ставрополь, ул. Пригородная, д. 224/А</w:t>
      </w:r>
    </w:p>
    <w:p>
      <w:pPr>
        <w:pStyle w:val="Style11"/>
        <w:keepNext w:val="0"/>
        <w:keepLines w:val="0"/>
        <w:widowControl w:val="0"/>
        <w:shd w:val="clear" w:color="auto" w:fill="auto"/>
        <w:bidi w:val="0"/>
        <w:spacing w:before="0" w:after="280" w:line="240" w:lineRule="auto"/>
        <w:ind w:left="1260" w:right="0" w:firstLine="0"/>
        <w:jc w:val="left"/>
      </w:pPr>
      <w:r>
        <w:rPr>
          <w:color w:val="000000"/>
          <w:spacing w:val="0"/>
          <w:w w:val="100"/>
          <w:position w:val="0"/>
          <w:shd w:val="clear" w:color="auto" w:fill="auto"/>
          <w:lang w:val="ru-RU" w:eastAsia="ru-RU" w:bidi="ru-RU"/>
        </w:rPr>
        <w:t>кагШо8к@уапдех.ги</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ИП Тужина Светлана Васильевна 620089, Свердловская обл., г.</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Екатеринбург,</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hd w:val="clear" w:color="auto" w:fill="auto"/>
          <w:lang w:val="ru-RU" w:eastAsia="ru-RU" w:bidi="ru-RU"/>
        </w:rPr>
        <w:t>ул. Луганская, д.4, кв.170</w:t>
      </w:r>
    </w:p>
    <w:p>
      <w:pPr>
        <w:pStyle w:val="Style11"/>
        <w:keepNext w:val="0"/>
        <w:keepLines w:val="0"/>
        <w:widowControl w:val="0"/>
        <w:shd w:val="clear" w:color="auto" w:fill="auto"/>
        <w:bidi w:val="0"/>
        <w:spacing w:before="0" w:after="1920" w:line="240" w:lineRule="auto"/>
        <w:ind w:left="1260" w:right="0" w:firstLine="0"/>
        <w:jc w:val="left"/>
      </w:pPr>
      <w:r>
        <w:rPr>
          <w:color w:val="000000"/>
          <w:spacing w:val="0"/>
          <w:w w:val="100"/>
          <w:position w:val="0"/>
          <w:shd w:val="clear" w:color="auto" w:fill="auto"/>
          <w:lang w:val="ru-RU" w:eastAsia="ru-RU" w:bidi="ru-RU"/>
        </w:rPr>
        <w:t>тГо@1рШ2.ги</w:t>
      </w:r>
    </w:p>
    <w:p>
      <w:pPr>
        <w:pStyle w:val="Style16"/>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u w:val="none"/>
          <w:shd w:val="clear" w:color="auto" w:fill="auto"/>
          <w:lang w:val="ru-RU" w:eastAsia="ru-RU" w:bidi="ru-RU"/>
        </w:rPr>
        <w:t>РЕШЕНИЕ</w:t>
      </w:r>
      <w:bookmarkEnd w:id="0"/>
    </w:p>
    <w:p>
      <w:pPr>
        <w:pStyle w:val="Style11"/>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026/06/106-928/2023</w:t>
        <w:br/>
        <w:t>о нарушении законодательства о закупках</w:t>
      </w:r>
    </w:p>
    <w:p>
      <w:pPr>
        <w:pStyle w:val="Style11"/>
        <w:keepNext w:val="0"/>
        <w:keepLines w:val="0"/>
        <w:widowControl w:val="0"/>
        <w:shd w:val="clear" w:color="auto" w:fill="auto"/>
        <w:tabs>
          <w:tab w:pos="8472" w:val="left"/>
        </w:tabs>
        <w:bidi w:val="0"/>
        <w:spacing w:before="0" w:after="280" w:line="240" w:lineRule="auto"/>
        <w:ind w:left="0" w:right="0" w:firstLine="0"/>
        <w:jc w:val="left"/>
      </w:pPr>
      <w:r>
        <w:rPr>
          <w:color w:val="000000"/>
          <w:spacing w:val="0"/>
          <w:w w:val="100"/>
          <w:position w:val="0"/>
          <w:shd w:val="clear" w:color="auto" w:fill="auto"/>
          <w:lang w:val="ru-RU" w:eastAsia="ru-RU" w:bidi="ru-RU"/>
        </w:rPr>
        <w:t>04.05.2023 года</w:t>
        <w:tab/>
        <w:t>г. Ставрополь</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Председатель Комиссии, заместителя руководителя Управления Федеральной антимонопольной службы по Ставропольскому краю Золиной Г.В.,</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Врио заместителя начальника отдела контроля закупок Управления Федеральной антимонопольной службы по Ставропольскому краю Вишневской Е.В., ведущего специалиста-эксперта отдела контроля закупок Управления Федеральной антимонопольной службы по Ставропольскому краю Карпель Б. Ш.,</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Заказчика - Ширяев Е.Н., Романов А.В.</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от заявителя - Бейнешев С.А.,</w:t>
      </w:r>
    </w:p>
    <w:p>
      <w:pPr>
        <w:pStyle w:val="Style16"/>
        <w:keepNext/>
        <w:keepLines/>
        <w:widowControl w:val="0"/>
        <w:shd w:val="clear" w:color="auto" w:fill="auto"/>
        <w:bidi w:val="0"/>
        <w:spacing w:before="0" w:after="280" w:line="240" w:lineRule="auto"/>
        <w:ind w:left="0" w:right="0" w:firstLine="0"/>
        <w:jc w:val="center"/>
      </w:pPr>
      <w:bookmarkStart w:id="2" w:name="bookmark2"/>
      <w:r>
        <w:rPr>
          <w:color w:val="000000"/>
          <w:spacing w:val="0"/>
          <w:w w:val="100"/>
          <w:position w:val="0"/>
          <w:u w:val="none"/>
          <w:shd w:val="clear" w:color="auto" w:fill="auto"/>
          <w:lang w:val="ru-RU" w:eastAsia="ru-RU" w:bidi="ru-RU"/>
        </w:rPr>
        <w:t>УСТАНОВИЛА:</w:t>
      </w:r>
      <w:bookmarkEnd w:id="2"/>
    </w:p>
    <w:p>
      <w:pPr>
        <w:pStyle w:val="Style11"/>
        <w:keepNext w:val="0"/>
        <w:keepLines w:val="0"/>
        <w:widowControl w:val="0"/>
        <w:shd w:val="clear" w:color="auto" w:fill="auto"/>
        <w:bidi w:val="0"/>
        <w:spacing w:before="0" w:after="400" w:line="240" w:lineRule="auto"/>
        <w:ind w:left="0" w:right="0" w:firstLine="740"/>
        <w:jc w:val="both"/>
      </w:pPr>
      <w:r>
        <w:rPr>
          <w:color w:val="000000"/>
          <w:spacing w:val="0"/>
          <w:w w:val="100"/>
          <w:position w:val="0"/>
          <w:shd w:val="clear" w:color="auto" w:fill="auto"/>
          <w:lang w:val="ru-RU" w:eastAsia="ru-RU" w:bidi="ru-RU"/>
        </w:rPr>
        <w:t>В Ставропольское УФАС России поступила жалоба ИП Тужиной С.В. на действия заказчика — ГБУЗ СК «Краевой клинический кардиологический</w:t>
      </w:r>
    </w:p>
    <w:p>
      <w:pPr>
        <w:pStyle w:val="Style19"/>
        <w:keepNext/>
        <w:keepLines/>
        <w:widowControl w:val="0"/>
        <w:shd w:val="clear" w:color="auto" w:fill="auto"/>
        <w:bidi w:val="0"/>
        <w:spacing w:before="0" w:after="0" w:line="240" w:lineRule="auto"/>
        <w:ind w:left="0" w:right="0" w:firstLine="0"/>
        <w:jc w:val="both"/>
        <w:rPr>
          <w:sz w:val="28"/>
          <w:szCs w:val="28"/>
        </w:rPr>
      </w:pPr>
      <w:bookmarkStart w:id="4" w:name="bookmark4"/>
      <w:r>
        <w:rPr>
          <w:color w:val="000000"/>
          <w:spacing w:val="0"/>
          <w:w w:val="100"/>
          <w:position w:val="0"/>
          <w:sz w:val="48"/>
          <w:szCs w:val="48"/>
          <w:shd w:val="clear" w:color="auto" w:fill="auto"/>
          <w:lang w:val="ru-RU" w:eastAsia="ru-RU" w:bidi="ru-RU"/>
        </w:rPr>
        <w:t>1111111111111111111111II</w:t>
      </w:r>
      <w:bookmarkEnd w:id="4"/>
      <w:r>
        <w:rPr>
          <w:color w:val="000000"/>
          <w:spacing w:val="0"/>
          <w:w w:val="100"/>
          <w:position w:val="0"/>
          <w:sz w:val="48"/>
          <w:szCs w:val="48"/>
          <w:shd w:val="clear" w:color="auto" w:fill="auto"/>
          <w:lang w:val="ru-RU" w:eastAsia="ru-RU" w:bidi="ru-RU"/>
        </w:rPr>
        <w:t xml:space="preserve"> </w:t>
      </w:r>
      <w:r>
        <w:rPr>
          <w:rStyle w:val="CharStyle12"/>
        </w:rPr>
        <w:t>диспансер» по факту осуществления закупки путем проведения открытого аукциона № 0321200008723000051 «Поставка перчаток медицинских».</w:t>
      </w:r>
    </w:p>
    <w:p>
      <w:pPr>
        <w:pStyle w:val="Style11"/>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 части осуществления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пояснил, что все процедуры и действия по осуществлению вышеуказанной закупки были проведены в соответствии с требованиями Закона № 44-ФЗ.</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проведенной внеплановой проверки в соответствии со ст. 99 Федерального закона К 44-ФЗ «О контрактной системе в сфере закупок товаров, работ, услуг для обеспечения государственных и муниципальных нужд» (далее - Закон № 44-ФЗ) Комиссия установила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42 Закона № 44-ФЗ -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1,3 ч. 2 ст. 42 Закона № 44-ФЗ -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описание объекта закупки в соответствии со статьей 33 настоящего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 1 и п. 2 ч. 1 ст. 33 Закона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w:t>
      </w:r>
      <w:r>
        <w:rPr>
          <w:color w:val="000000"/>
          <w:spacing w:val="0"/>
          <w:w w:val="100"/>
          <w:position w:val="0"/>
          <w:shd w:val="clear" w:color="auto" w:fill="auto"/>
          <w:lang w:val="ru-RU" w:eastAsia="ru-RU" w:bidi="ru-RU"/>
        </w:rPr>
        <w:t>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1"/>
        <w:keepNext w:val="0"/>
        <w:keepLines w:val="0"/>
        <w:widowControl w:val="0"/>
        <w:numPr>
          <w:ilvl w:val="0"/>
          <w:numId w:val="1"/>
        </w:numPr>
        <w:shd w:val="clear" w:color="auto" w:fill="auto"/>
        <w:tabs>
          <w:tab w:pos="105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19.04.2023 г. Заказчиком в ЕИС было размещено извещение о проведении открытого аукциона в электронной форме № 0321200008723000051 «Поставка перчаток медицинских».</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Приложению № 1 к извещению размещенному в ЕИС заказчиком кроме прочего требуется к поставке: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u w:val="single"/>
          <w:shd w:val="clear" w:color="auto" w:fill="auto"/>
          <w:lang w:val="ru-RU" w:eastAsia="ru-RU" w:bidi="ru-RU"/>
        </w:rPr>
        <w:t>По позиции № 5</w:t>
      </w:r>
      <w:r>
        <w:rPr>
          <w:color w:val="000000"/>
          <w:spacing w:val="0"/>
          <w:w w:val="100"/>
          <w:position w:val="0"/>
          <w:shd w:val="clear" w:color="auto" w:fill="auto"/>
          <w:lang w:val="ru-RU" w:eastAsia="ru-RU" w:bidi="ru-RU"/>
        </w:rPr>
        <w:t xml:space="preserve"> Описания объекта закупки к поставке необходимы Перчатки смотровые/процедурные нитриловые, неопудренные, нестерильные. Код КТРУ 22.19.60.119-00000008.</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доводов жалобы по позиции № 5 заказчик описал объект под перчатки одного производителя в рамках регистрационного удостоверения ФСЗ 2012/13339 - Мегса^ог МеШса1.</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Т.е., под совокупность установленных характеристик по позиции №5: длина перчатки, класс риска не ниже 2а, фасовка по 25 пар с 2 укладкой, наличие 2 компонентов — соотвествует только один проиводитель.</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Данный довод не был доказательно опровергнут представителем заказчика.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Необходимо отметить, согласно п.</w:t>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3.33</w:t>
      </w:r>
      <w:r>
        <w:rPr>
          <w:color w:val="000000"/>
          <w:spacing w:val="0"/>
          <w:w w:val="100"/>
          <w:position w:val="0"/>
          <w:shd w:val="clear" w:color="auto" w:fill="auto"/>
          <w:lang w:val="ru-RU" w:eastAsia="ru-RU" w:bidi="ru-RU"/>
        </w:rPr>
        <w:t xml:space="preserve">. Приказа ФАС России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от 19.11.2014 К 727/14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w:t>
      </w:r>
      <w:r>
        <w:rPr>
          <w:b/>
          <w:bCs/>
          <w:color w:val="000000"/>
          <w:spacing w:val="0"/>
          <w:w w:val="100"/>
          <w:position w:val="0"/>
          <w:u w:val="single"/>
          <w:shd w:val="clear" w:color="auto" w:fill="auto"/>
          <w:lang w:val="ru-RU" w:eastAsia="ru-RU" w:bidi="ru-RU"/>
        </w:rPr>
        <w:t>на основании документов и сведений, представленных на заседание Комиссии.</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В случае, если член Комиссии не согласен с решением, он излагает письменно особое мнение. При </w:t>
      </w:r>
      <w:r>
        <w:rPr>
          <w:b/>
          <w:bCs/>
          <w:color w:val="000000"/>
          <w:spacing w:val="0"/>
          <w:w w:val="100"/>
          <w:position w:val="0"/>
          <w:u w:val="single"/>
          <w:shd w:val="clear" w:color="auto" w:fill="auto"/>
          <w:lang w:val="ru-RU" w:eastAsia="ru-RU" w:bidi="ru-RU"/>
        </w:rPr>
        <w:t xml:space="preserve">принятии решения учитываются </w:t>
      </w:r>
      <w:bookmarkStart w:id="6" w:name="bookmark6"/>
      <w:r>
        <w:rPr>
          <w:rStyle w:val="CharStyle17"/>
        </w:rPr>
        <w:t>обстоятельства дела, установленные Комиссией в результате рассмотрения жалобы и проведения внеплановой проверки.</w:t>
      </w:r>
      <w:bookmarkEnd w:id="6"/>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довод № 1 заявителя жалобы в данной части обоснован.</w:t>
      </w:r>
    </w:p>
    <w:p>
      <w:pPr>
        <w:pStyle w:val="Style11"/>
        <w:keepNext w:val="0"/>
        <w:keepLines w:val="0"/>
        <w:widowControl w:val="0"/>
        <w:numPr>
          <w:ilvl w:val="0"/>
          <w:numId w:val="1"/>
        </w:numPr>
        <w:shd w:val="clear" w:color="auto" w:fill="auto"/>
        <w:tabs>
          <w:tab w:pos="106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доводы заявителя жалобы № 1, 2, 3, 4 в части не исполения заказчиком описания объекта закупки в соответстиви со ст. 33 Закона №44-ФЗ необоснованны на основании следующего:</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Правила использования каталога определены Постановлением Правительства РФ от 08.02.2017 года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 145).</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подпунктом б пункта 2 Правил № 145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4 Правил №145 предусмотрено, что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3"/>
        </w:numPr>
        <w:shd w:val="clear" w:color="auto" w:fill="auto"/>
        <w:tabs>
          <w:tab w:pos="107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w:t>
      </w:r>
    </w:p>
    <w:p>
      <w:pPr>
        <w:pStyle w:val="Style11"/>
        <w:keepNext w:val="0"/>
        <w:keepLines w:val="0"/>
        <w:widowControl w:val="0"/>
        <w:numPr>
          <w:ilvl w:val="0"/>
          <w:numId w:val="3"/>
        </w:numPr>
        <w:shd w:val="clear" w:color="auto" w:fill="auto"/>
        <w:tabs>
          <w:tab w:pos="106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3"/>
        </w:numPr>
        <w:shd w:val="clear" w:color="auto" w:fill="auto"/>
        <w:tabs>
          <w:tab w:pos="109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На основании пункта 5 Правил № 145,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w:t>
      </w:r>
      <w:r>
        <w:rPr>
          <w:color w:val="000000"/>
          <w:spacing w:val="0"/>
          <w:w w:val="100"/>
          <w:position w:val="0"/>
          <w:shd w:val="clear" w:color="auto" w:fill="auto"/>
          <w:lang w:val="ru-RU" w:eastAsia="ru-RU" w:bidi="ru-RU"/>
        </w:rPr>
        <w:t>закона, которые не предусмотрены в позиции каталога...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Пунктом 6 Правил № 145 предусмотрено, что </w:t>
      </w:r>
      <w:r>
        <w:rPr>
          <w:color w:val="000000"/>
          <w:spacing w:val="0"/>
          <w:w w:val="100"/>
          <w:position w:val="0"/>
          <w:u w:val="single"/>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r>
        <w:rPr>
          <w:color w:val="000000"/>
          <w:spacing w:val="0"/>
          <w:w w:val="100"/>
          <w:position w:val="0"/>
          <w:shd w:val="clear" w:color="auto" w:fill="auto"/>
          <w:lang w:val="ru-RU" w:eastAsia="ru-RU" w:bidi="ru-RU"/>
        </w:rPr>
        <w:t>.</w:t>
      </w:r>
    </w:p>
    <w:p>
      <w:pPr>
        <w:pStyle w:val="Style11"/>
        <w:keepNext w:val="0"/>
        <w:keepLines w:val="0"/>
        <w:widowControl w:val="0"/>
        <w:shd w:val="clear" w:color="auto" w:fill="auto"/>
        <w:bidi w:val="0"/>
        <w:spacing w:before="0" w:after="620" w:line="240" w:lineRule="auto"/>
        <w:ind w:left="0" w:right="0" w:firstLine="740"/>
        <w:jc w:val="both"/>
      </w:pPr>
      <w:r>
        <w:rPr>
          <w:color w:val="000000"/>
          <w:spacing w:val="0"/>
          <w:w w:val="100"/>
          <w:position w:val="0"/>
          <w:shd w:val="clear" w:color="auto" w:fill="auto"/>
          <w:lang w:val="ru-RU" w:eastAsia="ru-RU" w:bidi="ru-RU"/>
        </w:rPr>
        <w:t>В соотвествии с п. 6 Правил № 145 Постановления Правительства от 8 февраля 2017 г. заказчиком указано обоснование необходимости установления дополнительные требований, что не нарушает Закон №44-ФЗ.</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П. 3.35 Административного регламента Федеральной антимонопольной службы от 19 ноября 2014 г. К 727/14 установлено, что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Комиссия, руководствуясь ст. 99 Закона № 44-ФЗ,</w:t>
      </w:r>
    </w:p>
    <w:p>
      <w:pPr>
        <w:pStyle w:val="Style16"/>
        <w:keepNext/>
        <w:keepLines/>
        <w:widowControl w:val="0"/>
        <w:shd w:val="clear" w:color="auto" w:fill="auto"/>
        <w:bidi w:val="0"/>
        <w:spacing w:before="0" w:after="280" w:line="240" w:lineRule="auto"/>
        <w:ind w:left="0" w:right="0" w:firstLine="0"/>
        <w:jc w:val="center"/>
      </w:pPr>
      <w:bookmarkStart w:id="8" w:name="bookmark8"/>
      <w:r>
        <w:rPr>
          <w:color w:val="000000"/>
          <w:spacing w:val="0"/>
          <w:w w:val="100"/>
          <w:position w:val="0"/>
          <w:u w:val="none"/>
          <w:shd w:val="clear" w:color="auto" w:fill="auto"/>
          <w:lang w:val="ru-RU" w:eastAsia="ru-RU" w:bidi="ru-RU"/>
        </w:rPr>
        <w:t>РЕШИЛА:</w:t>
      </w:r>
      <w:bookmarkEnd w:id="8"/>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Признать жалобу ИП Тужиной С.В. на действия заказчика — ГБУЗ СК «Краевой клинический кардиологический диспансер» по факту осуществления закупки путем проведения открытого аукциона № 0321200008723000051 «Поставка перчаток медицинских» - обоснованной.</w:t>
      </w:r>
    </w:p>
    <w:p>
      <w:pPr>
        <w:pStyle w:val="Style11"/>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2. В действиях Заказчика установлены нарушения ст. 33, ст. 42 Закона №44- ФЗ, в связи с чем выдать обязательное для исполнения предписание.</w:t>
      </w:r>
    </w:p>
    <w:p>
      <w:pPr>
        <w:pStyle w:val="Style11"/>
        <w:keepNext w:val="0"/>
        <w:keepLines w:val="0"/>
        <w:widowControl w:val="0"/>
        <w:shd w:val="clear" w:color="auto" w:fill="auto"/>
        <w:bidi w:val="0"/>
        <w:spacing w:before="0" w:after="62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tabs>
          <w:tab w:pos="8707" w:val="left"/>
        </w:tabs>
        <w:bidi w:val="0"/>
        <w:spacing w:before="0" w:after="620" w:line="240" w:lineRule="auto"/>
        <w:ind w:left="0" w:right="0" w:firstLine="0"/>
        <w:jc w:val="left"/>
      </w:pPr>
      <w:r>
        <w:rPr>
          <w:color w:val="000000"/>
          <w:spacing w:val="0"/>
          <w:w w:val="100"/>
          <w:position w:val="0"/>
          <w:shd w:val="clear" w:color="auto" w:fill="auto"/>
          <w:lang w:val="ru-RU" w:eastAsia="ru-RU" w:bidi="ru-RU"/>
        </w:rPr>
        <w:t>Председатель комиссии</w:t>
        <w:tab/>
        <w:t>Г.В. Золина</w:t>
      </w:r>
    </w:p>
    <w:p>
      <w:pPr>
        <w:pStyle w:val="Style11"/>
        <w:keepNext w:val="0"/>
        <w:keepLines w:val="0"/>
        <w:widowControl w:val="0"/>
        <w:shd w:val="clear" w:color="auto" w:fill="auto"/>
        <w:bidi w:val="0"/>
        <w:spacing w:before="0" w:after="120" w:line="240" w:lineRule="auto"/>
        <w:ind w:left="0" w:right="0" w:firstLine="0"/>
        <w:jc w:val="right"/>
      </w:pPr>
      <w:r>
        <w:rPr>
          <w:color w:val="000000"/>
          <w:spacing w:val="0"/>
          <w:w w:val="100"/>
          <w:position w:val="0"/>
          <w:shd w:val="clear" w:color="auto" w:fill="auto"/>
          <w:lang w:val="ru-RU" w:eastAsia="ru-RU" w:bidi="ru-RU"/>
        </w:rPr>
        <w:t>Е.В. Вишневская</w:t>
      </w:r>
    </w:p>
    <w:p>
      <w:pPr>
        <w:pStyle w:val="Style11"/>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720" w:line="240" w:lineRule="auto"/>
        <w:ind w:left="0" w:right="0" w:firstLine="0"/>
        <w:jc w:val="right"/>
      </w:pPr>
      <w:r>
        <w:rPr>
          <w:color w:val="000000"/>
          <w:spacing w:val="0"/>
          <w:w w:val="100"/>
          <w:position w:val="0"/>
          <w:shd w:val="clear" w:color="auto" w:fill="auto"/>
          <w:lang w:val="ru-RU" w:eastAsia="ru-RU" w:bidi="ru-RU"/>
        </w:rPr>
        <w:t>Б. Ш. Карпель</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Исп.Карпель Б.Ш.</w:t>
      </w:r>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тел.(8652) 35-28-07, вн.026-285</w:t>
      </w:r>
    </w:p>
    <w:sectPr>
      <w:footerReference w:type="default" r:id="rId7"/>
      <w:footerReference w:type="first" r:id="rId8"/>
      <w:footnotePr>
        <w:pos w:val="pageBottom"/>
        <w:numFmt w:val="decimal"/>
        <w:numRestart w:val="continuous"/>
      </w:footnotePr>
      <w:pgSz w:w="11900" w:h="16840"/>
      <w:pgMar w:top="967" w:right="534" w:bottom="1192" w:left="1099"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9999980</wp:posOffset>
              </wp:positionV>
              <wp:extent cx="636905" cy="100330"/>
              <wp:wrapNone/>
              <wp:docPr id="7" name="Shape 7"/>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2023-5391</w:t>
                          </w:r>
                        </w:p>
                      </w:txbxContent>
                    </wps:txbx>
                    <wps:bodyPr wrap="none" lIns="0" tIns="0" rIns="0" bIns="0">
                      <a:spAutoFit/>
                    </wps:bodyPr>
                  </wps:wsp>
                </a:graphicData>
              </a:graphic>
            </wp:anchor>
          </w:drawing>
        </mc:Choice>
        <mc:Fallback>
          <w:pict>
            <v:shape id="_x0000_s1033" type="#_x0000_t202" style="position:absolute;margin-left:57.pt;margin-top:787.39999999999998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728345</wp:posOffset>
              </wp:positionH>
              <wp:positionV relativeFrom="page">
                <wp:posOffset>9999980</wp:posOffset>
              </wp:positionV>
              <wp:extent cx="636905" cy="100330"/>
              <wp:wrapNone/>
              <wp:docPr id="9" name="Shape 9"/>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2023-5391</w:t>
                          </w:r>
                        </w:p>
                      </w:txbxContent>
                    </wps:txbx>
                    <wps:bodyPr wrap="none" lIns="0" tIns="0" rIns="0" bIns="0">
                      <a:spAutoFit/>
                    </wps:bodyPr>
                  </wps:wsp>
                </a:graphicData>
              </a:graphic>
            </wp:anchor>
          </w:drawing>
        </mc:Choice>
        <mc:Fallback>
          <w:pict>
            <v:shape id="_x0000_s1035" type="#_x0000_t202" style="position:absolute;margin-left:57.350000000000001pt;margin-top:787.39999999999998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2023-5391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sz w:val="22"/>
      <w:szCs w:val="22"/>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8"/>
      <w:szCs w:val="28"/>
      <w:u w:val="singl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48"/>
      <w:szCs w:val="48"/>
      <w:u w:val="none"/>
    </w:rPr>
  </w:style>
  <w:style w:type="paragraph" w:customStyle="1" w:styleId="Style2">
    <w:name w:val="Основной текст (2)"/>
    <w:basedOn w:val="Normal"/>
    <w:link w:val="CharStyle3"/>
    <w:pPr>
      <w:widowControl w:val="0"/>
      <w:shd w:val="clear" w:color="auto" w:fill="auto"/>
      <w:spacing w:after="160" w:line="281"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21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8">
    <w:name w:val="Основной текст (4)"/>
    <w:basedOn w:val="Normal"/>
    <w:link w:val="CharStyle9"/>
    <w:pPr>
      <w:widowControl w:val="0"/>
      <w:shd w:val="clear" w:color="auto" w:fill="auto"/>
      <w:spacing w:after="280"/>
    </w:pPr>
    <w:rPr>
      <w:rFonts w:ascii="Times New Roman" w:eastAsia="Times New Roman" w:hAnsi="Times New Roman" w:cs="Times New Roman"/>
      <w:b w:val="0"/>
      <w:bCs w:val="0"/>
      <w:i w:val="0"/>
      <w:iCs w:val="0"/>
      <w:smallCaps w:val="0"/>
      <w:strike w:val="0"/>
      <w:sz w:val="22"/>
      <w:szCs w:val="22"/>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2"/>
    <w:basedOn w:val="Normal"/>
    <w:link w:val="CharStyle17"/>
    <w:pPr>
      <w:widowControl w:val="0"/>
      <w:shd w:val="clear" w:color="auto" w:fill="auto"/>
      <w:spacing w:after="140"/>
      <w:jc w:val="center"/>
      <w:outlineLvl w:val="1"/>
    </w:pPr>
    <w:rPr>
      <w:rFonts w:ascii="Times New Roman" w:eastAsia="Times New Roman" w:hAnsi="Times New Roman" w:cs="Times New Roman"/>
      <w:b/>
      <w:bCs/>
      <w:i w:val="0"/>
      <w:iCs w:val="0"/>
      <w:smallCaps w:val="0"/>
      <w:strike w:val="0"/>
      <w:sz w:val="28"/>
      <w:szCs w:val="28"/>
      <w:u w:val="single"/>
    </w:rPr>
  </w:style>
  <w:style w:type="paragraph" w:customStyle="1" w:styleId="Style19">
    <w:name w:val="Заголовок №1"/>
    <w:basedOn w:val="Normal"/>
    <w:link w:val="CharStyle20"/>
    <w:pPr>
      <w:widowControl w:val="0"/>
      <w:shd w:val="clear" w:color="auto" w:fill="auto"/>
      <w:spacing w:after="28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