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1о77@Га8.еоу.ги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1762" w:val="left"/>
          <w:tab w:leader="underscore" w:pos="3926" w:val="left"/>
        </w:tabs>
        <w:bidi w:val="0"/>
        <w:spacing w:before="0" w:line="240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ab/>
        <w:t xml:space="preserve"> №</w:t>
        <w:tab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На№  от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ГБУЗ «МНПЦ борьбы с туберкулезом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ДЗМ»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тпрсЫ@уапйех.ш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ИП Баулина Л.А.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6"/>
          <w:szCs w:val="26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298" w:right="1106" w:bottom="1197" w:left="1140" w:header="0" w:footer="769" w:gutter="0"/>
          <w:pgNumType w:start="1"/>
          <w:cols w:num="2" w:space="720" w:equalWidth="0">
            <w:col w:w="4061" w:space="1008"/>
            <w:col w:w="4584"/>
          </w:cols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^рЬаи1та1а2022@та^^ш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0" w:after="90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97" w:right="0" w:bottom="99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390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077/06/106-НУ-1/2023 о нарушении</w:t>
        <w:br/>
        <w:t>законодательства о контрактной системе</w:t>
        <w:br/>
        <w:t>03.05.2023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Е.А. Мироновой,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Главного-специалиста эксперта отдела обжалования государственных закупок Н.А. Узкого,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М.О. Мацневой,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 в целях исполнения Указа Мэра Москвы от 25.09.2020 № 92-УМ «О внесении изменений в правовые акты города Москвы» и предупреждения распространения в городе Москве инфекции, вызванной коронавирусом 2019-пСоУ,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 ГБУЗ «МНПЦ борьбы с туберкулезом ДЗМ», ИП Баулина Л.А.,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ИП Баулина Л.А. (далее — Заявитель) на действия ГБУЗ «МНПЦ борьбы с туберкулезом ДЗМ» (далее — Заказчик) при проведении электронного аукциона на право заключения государственного контракта на поставку медицинских нитриловых перчаток в филиалы ГБУЗ «МНПЦ борьбы с туберкулезом ДЗМ» (Закупка № 0373200059723000174) (далее -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аукциона.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заседание Комиссии Управления Заказчиком представлены документы и сведения, запрашиваемые письмом Московского УФАС России.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сведения, Комиссия Управления установила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статьей 33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Ч.1 ст.33 Закона о контрактной системе установлено, что Заказчик при описании в документации о закупке объекта закупки должен руководствоваться следующими правилами: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1)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2)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ч.2 ст.33 Закона о контрактной системе документация о закупке в соответствии с требованиями, указанными в части 1 ст.33 Закона о контрактной системе,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указывает, что в составе технической части закупочной документации Заказчиком установлены неправомерные требования к товару по п. «Перчатки смотровые/процедурные нитриловые, неопудренные, нестерильные»: «Одинарная толщина среднего пальца перчатки: &gt;= 0.15 &lt;= 0.25 мм», «Толщина одной стенки ладонной части должна быть в пределах 0, 12-0,16 мм», поскольку в соответствии с государственными стандартами, регламентирующих характеристики закупаемого товара, а именно ГОСТ Р 52239-2004 «Перчатки медицинские диагностические одноразовые. Часть 1. Спецификация на перчатки из каучукового латекса или раствора» (далее - ГОСТ Р 52239-2004) и ГОСТ 32337-2017 «Перчатки медицинские диагностические нитрильные. Технические требования» (далее - ГОСТ 32337-2013), допустимая толщина перчаток начинается от 0,05 мм. (ГОСТ 32337-2017) или от 0,08 мм. (ГОСТ 52239-2004).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 Заказчиком необоснованно исключена возможность поставки перчаток с толщиной от 0,05 мм или от 0,08 мм.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 согласившись с доводом жалобы представитель Заказчика указал, что при описании вышеуказанного товара Заказчик руководствовался как стандартизированным описание закупаемого товара в соответствии с позицией КПГЗ, так и потребностью медицинского учреждения в приобретении более плотных печаток, что увеличивает степень защиты медицинского персонала.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также отмечает, что используемые заказчиком характеристики толщины перчаток не противоречат положениям вышеизложенных государственных стандартов и установлены в рамках заданных диапазонов.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Также в составе жалобы Заявитель указывает, что по позициям 1-3 «Перчатки смотровые/процедурные нитриловые, неопудренные,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нестерильные» Заказчиком установлено неправомерное требование «Внутренняя поверхность медицинского изделия обработана Алое Вера: Да», ограничивающие количество участников закупочной процедуры.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Применение смотровых перчаток при смотровых в клинико</w:t>
        <w:softHyphen/>
        <w:t>диагностических манипуляциях ограничено коротким промежутком времени (1-20 мин), специалисты до и после надевания перчаток обязаны произвести гигиеническую обработку кожи рук с применением специальных средств (то есть обработать и помыть руки до надевания перчаток и после их снятия), с учетом необходимости частой смены перчаток в соответствии с санитарными правилами и нормами, наличие увлажняющих и косметических компонентов в покрытии смотровых перчаток не имеет практического смысла, поскольку просто не смогут оказать свой эффект в связи с коротким интервалом времени экспозиции перчатки на руке и частой обработки и мытья рук при смене перчаток.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Заказчик необоснованно установлено требование к увлажняющему составу, указав исключительно единственный вариант исполнения «Алое-вера».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свою очередь представитель Заказчика указал, что вопреки доводам Заявителя нормативно-правовыми актами департамента здравоохранения г.Москвы установлено, что осмотр пациентов должен проводится исключительно в перчатках, при этом необходимость по замене таких перчаток установлено каждые 60 минут, либо после каждого контракта с пациентом. В свою очередь наличие обработки материала «Алое Вера» способствует меньшему раздражению кожи рук, а также имеет успокаивающий эффект, что является существенно важной характеристикой для медицинского персонала.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вышеуказанная характеристика также предусмотрена типовыми положениями описания продукции в соответствии с КПГЗ, а также может быть поставлена неограниченным количеством производителей.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ч.4 ст.106 Закона о контрактной системе обязанность доказывания нарушения Заказчиком своих прав и законных интересов лежит на подателе жалобы, однако в составе жалобы не представлено документов и сведений, свидетельствующих о неправомерности действий Заказчика в части установления вышеуказанных положений закупочной документации.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 Комиссия Управления приходит к выводу о необоснованности вышеуказанного довода жалобы.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Признать жалобу ИП Баулина Л.А. на действия ГБУЗ «МНПЦ борьбы с туберкулезом ДЗМ» необоснованной.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 Снять ограничения на определение поставщика (подрядчика, исполнителя) путем проведения аукционов, наложенные письмом Московского УФАС России.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32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установленным гл. 24 АПК РФ.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060" w:line="240" w:lineRule="auto"/>
        <w:ind w:left="0" w:right="0" w:firstLine="0"/>
        <w:jc w:val="left"/>
        <w:rPr>
          <w:sz w:val="26"/>
          <w:szCs w:val="26"/>
        </w:rPr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5682615</wp:posOffset>
                </wp:positionH>
                <wp:positionV relativeFrom="paragraph">
                  <wp:posOffset>12700</wp:posOffset>
                </wp:positionV>
                <wp:extent cx="1173480" cy="240665"/>
                <wp:wrapSquare wrapText="bothSides"/>
                <wp:docPr id="2" name="Shape 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73480" cy="2406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6"/>
                                <w:szCs w:val="26"/>
                                <w:shd w:val="clear" w:color="auto" w:fill="auto"/>
                                <w:lang w:val="ru-RU" w:eastAsia="ru-RU" w:bidi="ru-RU"/>
                              </w:rPr>
                              <w:t>Е.А. Миронова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margin-left:447.44999999999999pt;margin-top:1.pt;width:92.400000000000006pt;height:18.94999999999999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6"/>
                          <w:szCs w:val="26"/>
                          <w:shd w:val="clear" w:color="auto" w:fill="auto"/>
                          <w:lang w:val="ru-RU" w:eastAsia="ru-RU" w:bidi="ru-RU"/>
                        </w:rPr>
                        <w:t>Е.А. Миронова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Председательствующий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380" w:line="240" w:lineRule="auto"/>
        <w:ind w:left="0" w:right="0" w:firstLine="0"/>
        <w:jc w:val="righ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М.О. Мацнева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5000" w:line="240" w:lineRule="auto"/>
        <w:ind w:left="0" w:right="0" w:firstLine="0"/>
        <w:jc w:val="righ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Н.А. Узкий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Исп.Узкий Н.А.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497" w:right="1104" w:bottom="999" w:left="1101" w:header="0" w:footer="571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25FA6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Основной текст (3)_"/>
    <w:basedOn w:val="DefaultParagraphFont"/>
    <w:link w:val="Style10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26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25FA6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Основной текст (3)"/>
    <w:basedOn w:val="Normal"/>
    <w:link w:val="CharStyle11"/>
    <w:pPr>
      <w:widowControl w:val="0"/>
      <w:shd w:val="clear" w:color="auto" w:fill="auto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/Relationships>
</file>