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220" w:line="240" w:lineRule="auto"/>
        <w:ind w:left="0" w:right="0" w:firstLine="0"/>
        <w:jc w:val="center"/>
        <w:rPr>
          <w:sz w:val="72"/>
          <w:szCs w:val="72"/>
        </w:rPr>
      </w:pPr>
      <w:r>
        <w:rPr>
          <w:rFonts w:ascii="Arial" w:eastAsia="Arial" w:hAnsi="Arial" w:cs="Arial"/>
          <w:color w:val="4360A3"/>
          <w:spacing w:val="0"/>
          <w:w w:val="100"/>
          <w:position w:val="0"/>
          <w:sz w:val="72"/>
          <w:szCs w:val="72"/>
          <w:u w:val="single"/>
          <w:shd w:val="clear" w:color="auto" w:fill="auto"/>
          <w:lang w:val="ru-RU" w:eastAsia="ru-RU" w:bidi="ru-RU"/>
        </w:rPr>
        <w:t>ф</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360A3"/>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380" w:line="240" w:lineRule="auto"/>
        <w:ind w:left="0" w:right="0" w:firstLine="0"/>
        <w:jc w:val="center"/>
        <w:rPr>
          <w:sz w:val="19"/>
          <w:szCs w:val="19"/>
        </w:rPr>
      </w:pPr>
      <w:r>
        <w:rPr>
          <w:b/>
          <w:bCs/>
          <w:color w:val="4360A3"/>
          <w:spacing w:val="0"/>
          <w:w w:val="100"/>
          <w:position w:val="0"/>
          <w:sz w:val="19"/>
          <w:szCs w:val="19"/>
          <w:shd w:val="clear" w:color="auto" w:fill="auto"/>
          <w:lang w:val="ru-RU" w:eastAsia="ru-RU" w:bidi="ru-RU"/>
        </w:rPr>
        <w:t>УПРАВЛЕНИЕ</w:t>
        <w:br/>
        <w:t>Федеральной антимонопольной службы</w:t>
        <w:br/>
        <w:t>по Ивановской области</w:t>
      </w:r>
    </w:p>
    <w:p>
      <w:pPr>
        <w:pStyle w:val="Style2"/>
        <w:keepNext w:val="0"/>
        <w:keepLines w:val="0"/>
        <w:widowControl w:val="0"/>
        <w:shd w:val="clear" w:color="auto" w:fill="auto"/>
        <w:bidi w:val="0"/>
        <w:spacing w:before="0" w:after="40" w:line="276" w:lineRule="auto"/>
        <w:ind w:left="0" w:right="0" w:firstLine="0"/>
        <w:jc w:val="center"/>
        <w:rPr>
          <w:sz w:val="16"/>
          <w:szCs w:val="16"/>
        </w:rPr>
      </w:pPr>
      <w:r>
        <w:rPr>
          <w:color w:val="4360A3"/>
          <w:spacing w:val="0"/>
          <w:w w:val="100"/>
          <w:position w:val="0"/>
          <w:sz w:val="16"/>
          <w:szCs w:val="16"/>
          <w:shd w:val="clear" w:color="auto" w:fill="auto"/>
          <w:lang w:val="ru-RU" w:eastAsia="ru-RU" w:bidi="ru-RU"/>
        </w:rPr>
        <w:t>ул. Жарова, 10, Иваново, 153000</w:t>
        <w:br/>
        <w:t>тел. (4932) 32-85-73, факс (4932) 32-63-60</w:t>
        <w:br/>
        <w:t>е-тай: 1о37@Гав.§оу.ги</w:t>
      </w:r>
    </w:p>
    <w:p>
      <w:pPr>
        <w:pStyle w:val="Style11"/>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ТМ/1397/2</w:t>
      </w:r>
      <w:r>
        <w:rPr>
          <w:color w:val="000000"/>
          <w:spacing w:val="0"/>
          <w:w w:val="100"/>
          <w:position w:val="0"/>
          <w:u w:val="none"/>
          <w:shd w:val="clear" w:color="auto" w:fill="auto"/>
          <w:lang w:val="ru-RU" w:eastAsia="ru-RU" w:bidi="ru-RU"/>
        </w:rPr>
        <w:t>3</w:t>
      </w:r>
      <w:bookmarkEnd w:id="0"/>
    </w:p>
    <w:p>
      <w:pPr>
        <w:pStyle w:val="Style2"/>
        <w:keepNext w:val="0"/>
        <w:keepLines w:val="0"/>
        <w:widowControl w:val="0"/>
        <w:shd w:val="clear" w:color="auto" w:fill="auto"/>
        <w:bidi w:val="0"/>
        <w:spacing w:before="0" w:after="620" w:line="264" w:lineRule="auto"/>
        <w:ind w:left="0" w:right="0" w:firstLine="0"/>
        <w:jc w:val="center"/>
        <w:rPr>
          <w:sz w:val="18"/>
          <w:szCs w:val="18"/>
        </w:rPr>
      </w:pPr>
      <w:r>
        <w:rPr>
          <w:color w:val="4360A3"/>
          <w:spacing w:val="0"/>
          <w:w w:val="100"/>
          <w:position w:val="0"/>
          <w:sz w:val="18"/>
          <w:szCs w:val="18"/>
          <w:shd w:val="clear" w:color="auto" w:fill="auto"/>
          <w:lang w:val="ru-RU" w:eastAsia="ru-RU" w:bidi="ru-RU"/>
        </w:rPr>
        <w:t xml:space="preserve">На №  от</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Решение о признании жалобы</w:t>
        <w:br/>
        <w:t>необоснованной</w:t>
      </w:r>
    </w:p>
    <w:p>
      <w:pPr>
        <w:pStyle w:val="Style16"/>
        <w:keepNext w:val="0"/>
        <w:keepLines w:val="0"/>
        <w:widowControl w:val="0"/>
        <w:shd w:val="clear" w:color="auto" w:fill="auto"/>
        <w:bidi w:val="0"/>
        <w:spacing w:before="0" w:after="280" w:line="240" w:lineRule="auto"/>
        <w:ind w:left="0" w:right="0" w:firstLine="0"/>
        <w:jc w:val="left"/>
        <w:rPr>
          <w:sz w:val="28"/>
          <w:szCs w:val="28"/>
        </w:rPr>
      </w:pPr>
      <w:r>
        <w:rPr>
          <w:b/>
          <w:bCs/>
          <w:color w:val="000000"/>
          <w:spacing w:val="0"/>
          <w:w w:val="100"/>
          <w:position w:val="0"/>
          <w:sz w:val="28"/>
          <w:szCs w:val="28"/>
          <w:shd w:val="clear" w:color="auto" w:fill="auto"/>
          <w:lang w:val="ru-RU" w:eastAsia="ru-RU" w:bidi="ru-RU"/>
        </w:rPr>
        <w:t>Департаменту конкурсов и аукционов ивановской области</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ru-RU" w:eastAsia="ru-RU" w:bidi="ru-RU"/>
        </w:rPr>
        <w:t>АКБ «Абсолют Банк» (ПАО)</w:t>
      </w:r>
    </w:p>
    <w:p>
      <w:pPr>
        <w:pStyle w:val="Style16"/>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"mailto:trebovaniiya-bg@absolutbank.ru" </w:instrText>
      </w:r>
      <w:r>
        <w:fldChar w:fldCharType="separate"/>
      </w:r>
      <w:r>
        <w:rPr>
          <w:color w:val="000080"/>
          <w:spacing w:val="0"/>
          <w:w w:val="100"/>
          <w:position w:val="0"/>
          <w:sz w:val="28"/>
          <w:szCs w:val="28"/>
          <w:u w:val="single"/>
          <w:shd w:val="clear" w:color="auto" w:fill="auto"/>
          <w:lang w:val="ru-RU" w:eastAsia="ru-RU" w:bidi="ru-RU"/>
        </w:rPr>
        <w:t>1теЪоуаппха-Ъд@аЪ8о1иЛапкги</w:t>
      </w:r>
      <w:r>
        <w:fldChar w:fldCharType="end"/>
      </w:r>
    </w:p>
    <w:p>
      <w:pPr>
        <w:pStyle w:val="Style16"/>
        <w:keepNext w:val="0"/>
        <w:keepLines w:val="0"/>
        <w:widowControl w:val="0"/>
        <w:shd w:val="clear" w:color="auto" w:fill="auto"/>
        <w:bidi w:val="0"/>
        <w:spacing w:before="0" w:after="280" w:line="240" w:lineRule="auto"/>
        <w:ind w:left="0" w:right="0" w:firstLine="0"/>
        <w:jc w:val="left"/>
        <w:rPr>
          <w:sz w:val="28"/>
          <w:szCs w:val="28"/>
        </w:rPr>
      </w:pPr>
      <w:r>
        <w:rPr>
          <w:b/>
          <w:bCs/>
          <w:color w:val="000000"/>
          <w:spacing w:val="0"/>
          <w:w w:val="100"/>
          <w:position w:val="0"/>
          <w:sz w:val="28"/>
          <w:szCs w:val="28"/>
          <w:shd w:val="clear" w:color="auto" w:fill="auto"/>
          <w:lang w:val="ru-RU" w:eastAsia="ru-RU" w:bidi="ru-RU"/>
        </w:rPr>
        <w:t>ООО «Спецстройгарант»</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ru-RU" w:eastAsia="ru-RU" w:bidi="ru-RU"/>
        </w:rPr>
        <w:t>МКУ городского округа Тейково</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ru-RU" w:eastAsia="ru-RU" w:bidi="ru-RU"/>
        </w:rPr>
        <w:t>«Служба Заказчика»</w:t>
      </w:r>
    </w:p>
    <w:p>
      <w:pPr>
        <w:pStyle w:val="Style16"/>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361" w:right="613" w:bottom="1227" w:left="1140" w:header="0" w:footer="3" w:gutter="0"/>
          <w:pgNumType w:start="1"/>
          <w:cols w:num="2" w:space="720" w:equalWidth="0">
            <w:col w:w="4229" w:space="1032"/>
            <w:col w:w="4886"/>
          </w:cols>
          <w:noEndnote/>
          <w:titlePg/>
          <w:rtlGutter w:val="0"/>
          <w:docGrid w:linePitch="360"/>
        </w:sectPr>
      </w:pPr>
      <w:r>
        <w:fldChar w:fldCharType="begin"/>
      </w:r>
      <w:r>
        <w:rPr/>
        <w:instrText> HYPERLINK "mailto:szakazchikov@inbox.ru" </w:instrText>
      </w:r>
      <w:r>
        <w:fldChar w:fldCharType="separate"/>
      </w:r>
      <w:r>
        <w:rPr>
          <w:color w:val="000080"/>
          <w:spacing w:val="0"/>
          <w:w w:val="100"/>
          <w:position w:val="0"/>
          <w:sz w:val="28"/>
          <w:szCs w:val="28"/>
          <w:shd w:val="clear" w:color="auto" w:fill="auto"/>
          <w:lang w:val="ru-RU" w:eastAsia="ru-RU" w:bidi="ru-RU"/>
        </w:rPr>
        <w:t>87акагсЫкоу@тЬохли</w:t>
      </w:r>
      <w:r>
        <w:fldChar w:fldCharType="end"/>
      </w:r>
    </w:p>
    <w:p>
      <w:pPr>
        <w:widowControl w:val="0"/>
        <w:spacing w:before="115" w:after="11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97" w:right="0" w:bottom="1191"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№037/06/96-234/2023 (07-15/2023-128)</w:t>
      </w:r>
    </w:p>
    <w:p>
      <w:pPr>
        <w:pStyle w:val="Style16"/>
        <w:keepNext w:val="0"/>
        <w:keepLines w:val="0"/>
        <w:widowControl w:val="0"/>
        <w:shd w:val="clear" w:color="auto" w:fill="auto"/>
        <w:tabs>
          <w:tab w:pos="8534" w:val="left"/>
        </w:tabs>
        <w:bidi w:val="0"/>
        <w:spacing w:before="0" w:after="0" w:line="240" w:lineRule="auto"/>
        <w:ind w:left="0" w:right="0" w:firstLine="0"/>
        <w:jc w:val="both"/>
      </w:pPr>
      <w:r>
        <w:rPr>
          <w:color w:val="000000"/>
          <w:spacing w:val="0"/>
          <w:w w:val="100"/>
          <w:position w:val="0"/>
          <w:shd w:val="clear" w:color="auto" w:fill="auto"/>
          <w:lang w:val="ru-RU" w:eastAsia="ru-RU" w:bidi="ru-RU"/>
        </w:rPr>
        <w:t>Дата оглашения решения: 04 мая 2023 года</w:t>
        <w:tab/>
        <w:t>город Иваново</w:t>
      </w:r>
    </w:p>
    <w:p>
      <w:pPr>
        <w:pStyle w:val="Style16"/>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Дата изготовления решения: 11 мая 2023 года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председателя Комиссии: Михеевой Т.А. - ВрИО руководителя управления,</w:t>
      </w:r>
    </w:p>
    <w:p>
      <w:pPr>
        <w:pStyle w:val="Style16"/>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членов Комиссии: Притумановой Ю.К. - главного специалиста-эксперта отдела контроля в сфере закупок, Долакидзе Г.П. - ведущего специалиста-эксперта отдела контроля в сфере закупок,</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заседание проведено в режиме видеоконференцсвязи при участии представителей:</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«Спецстройгарант» (далее - Заявитель, Общество) - Бобылева Сергея Сергеевича (доверенность №1 от 25.04.2023),</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АКБ «Абсолют Банк» (ПАО) - Кармазинской Аллы Викторовны (доверенность от 14.06.2022),</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отсутствие представителей МКУ городского округа Тейково «Служба Заказчика» (далее - Заказчик), Департамента конкурсов и аукционов Ивановской области (указанные лица были уведомлены о дате, времени и месте рассмотрения жалобы),</w:t>
      </w:r>
    </w:p>
    <w:p>
      <w:pPr>
        <w:pStyle w:val="Style16"/>
        <w:keepNext w:val="0"/>
        <w:keepLines w:val="0"/>
        <w:widowControl w:val="0"/>
        <w:shd w:val="clear" w:color="auto" w:fill="auto"/>
        <w:bidi w:val="0"/>
        <w:spacing w:before="0" w:after="400" w:line="240" w:lineRule="auto"/>
        <w:ind w:left="0" w:right="0" w:firstLine="740"/>
        <w:jc w:val="both"/>
      </w:pPr>
      <w:r>
        <w:rPr>
          <w:color w:val="000000"/>
          <w:spacing w:val="0"/>
          <w:w w:val="100"/>
          <w:position w:val="0"/>
          <w:shd w:val="clear" w:color="auto" w:fill="auto"/>
          <w:lang w:val="ru-RU" w:eastAsia="ru-RU" w:bidi="ru-RU"/>
        </w:rPr>
        <w:t>рассмотрев жалобу ООО «Спецстройгарант» на действия МКУ городского округа Тейково «Служба Заказчика» при проведении открытого конкурса в электронной форме на строительство Центра культурного развития в г.о. Тейково по адресу: Ивановская область, г. Тейково, ул. Молодежная, д. 7А (извещение 0133200001723001043), и в результате осуществления внеплановой проверки в соответствии с п. 1 ч. 15 ст. 99 Федерального</w:t>
      </w:r>
    </w:p>
    <w:p>
      <w:pPr>
        <w:pStyle w:val="Style27"/>
        <w:keepNext/>
        <w:keepLines/>
        <w:widowControl w:val="0"/>
        <w:shd w:val="clear" w:color="auto" w:fill="auto"/>
        <w:bidi w:val="0"/>
        <w:spacing w:before="0" w:after="0" w:line="240" w:lineRule="auto"/>
        <w:ind w:left="0" w:right="0" w:firstLine="0"/>
        <w:jc w:val="left"/>
        <w:rPr>
          <w:sz w:val="26"/>
          <w:szCs w:val="26"/>
        </w:rPr>
      </w:pPr>
      <w:bookmarkStart w:id="2" w:name="bookmark2"/>
      <w:r>
        <w:rPr>
          <w:color w:val="000000"/>
          <w:spacing w:val="0"/>
          <w:w w:val="100"/>
          <w:position w:val="0"/>
          <w:sz w:val="42"/>
          <w:szCs w:val="42"/>
          <w:shd w:val="clear" w:color="auto" w:fill="auto"/>
          <w:lang w:val="ru-RU" w:eastAsia="ru-RU" w:bidi="ru-RU"/>
        </w:rPr>
        <w:t>111111111III111111111111</w:t>
      </w:r>
      <w:bookmarkEnd w:id="2"/>
      <w:r>
        <w:rPr>
          <w:color w:val="000000"/>
          <w:spacing w:val="0"/>
          <w:w w:val="100"/>
          <w:position w:val="0"/>
          <w:sz w:val="42"/>
          <w:szCs w:val="42"/>
          <w:shd w:val="clear" w:color="auto" w:fill="auto"/>
          <w:lang w:val="ru-RU" w:eastAsia="ru-RU" w:bidi="ru-RU"/>
        </w:rPr>
        <w:t xml:space="preserve"> </w:t>
      </w:r>
      <w:r>
        <w:rPr>
          <w:rStyle w:val="CharStyle17"/>
        </w:rPr>
        <w:t>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27.04.2023 в Управление Федеральной антимонопольной службы по Ивановской области поступила жалоба ООО «Спецстройгарант» на действия МКУ городского округа Тейково «Служба Заказчика» при проведении открытого конкурса в электронной форме на строительство Центра культурного развития в г.о. Тейково по адресу: Ивановская область, г. Тейково, ул. Молодежная, д. 7А (извещение 0133200001723001043).</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Согласно жалобе Заявителя, Заказчиком при проведении процедуры заключения контракта было принято решение об отказе в принятии независимой гарантии, представленной Обществом в качестве обеспечения исполнения контракта, а также о признании Заявителя уклонившимся от заключения контракта. По мнению Общества, указанные действия Заказчика неправомерны.</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МКУ городского округа Тейково «Служба Заказчика» в своих возражениях с доводами жалобы не согласилось и просило признать жалобу необоснованной.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представленные ООО «Спецстройгарант», МКУ городского округа Тейково «Служба Заказчика», АКБ «Абсолют Банк» (ПАО) документы, заслушав представителей лиц, участвующих в заседании Комиссии Ивановского УФАС России, а также проведя внеплановую проверку в соответствии с ч. 15 ст. 99 Закона о контрактной системе, Комиссия Ивановского УФАС России установила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19.03.2023 на официальном сайте единой информационной системы в сфере закупок в информационно-телекоммуникационной сети Интернет (</w:t>
      </w:r>
      <w:r>
        <w:fldChar w:fldCharType="begin"/>
      </w:r>
      <w:r>
        <w:rPr/>
        <w:instrText> HYPERLINK "http://www.zakupki.gov.ru/" </w:instrText>
      </w:r>
      <w:r>
        <w:fldChar w:fldCharType="separate"/>
      </w:r>
      <w:r>
        <w:rPr>
          <w:color w:val="000080"/>
          <w:spacing w:val="0"/>
          <w:w w:val="100"/>
          <w:position w:val="0"/>
          <w:u w:val="single"/>
          <w:shd w:val="clear" w:color="auto" w:fill="auto"/>
          <w:lang w:val="ru-RU" w:eastAsia="ru-RU" w:bidi="ru-RU"/>
        </w:rPr>
        <w:t>\у\у\у./акирк1.доу.1'и</w:t>
      </w:r>
      <w:r>
        <w:fldChar w:fldCharType="end"/>
      </w:r>
      <w:r>
        <w:rPr>
          <w:color w:val="000000"/>
          <w:spacing w:val="0"/>
          <w:w w:val="100"/>
          <w:position w:val="0"/>
          <w:shd w:val="clear" w:color="auto" w:fill="auto"/>
          <w:lang w:val="ru-RU" w:eastAsia="ru-RU" w:bidi="ru-RU"/>
        </w:rPr>
        <w:t>) (далее - официальный сайт) было размещено извещение 0133200001723001043 о проведении открытого конкурса в электронной форме на строительство Центра культурного развития в г.о. Тейково по адресу: Ивановская область, г. Тейково, ул. Молодежная, д.7А.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 проведении открытого конкурса в электронной форме, протоколами, составленными при определении поставщика (подрядчика, исполнителя), размещенными на официальном сайте:</w:t>
      </w:r>
    </w:p>
    <w:p>
      <w:pPr>
        <w:pStyle w:val="Style16"/>
        <w:keepNext w:val="0"/>
        <w:keepLines w:val="0"/>
        <w:widowControl w:val="0"/>
        <w:numPr>
          <w:ilvl w:val="0"/>
          <w:numId w:val="1"/>
        </w:numPr>
        <w:shd w:val="clear" w:color="auto" w:fill="auto"/>
        <w:tabs>
          <w:tab w:pos="93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- 114 384 967,45 руб.;</w:t>
      </w:r>
    </w:p>
    <w:p>
      <w:pPr>
        <w:pStyle w:val="Style16"/>
        <w:keepNext w:val="0"/>
        <w:keepLines w:val="0"/>
        <w:widowControl w:val="0"/>
        <w:numPr>
          <w:ilvl w:val="0"/>
          <w:numId w:val="1"/>
        </w:numPr>
        <w:shd w:val="clear" w:color="auto" w:fill="auto"/>
        <w:tabs>
          <w:tab w:pos="9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рассмотрения и оценки вторых частей заявок на участие в открытом конкурсе в электронной форме от 14.04.2023 №ПРО111 по окончании срока подачи заявок на участие в открытом конкурсе в электронной форме было подано 2 заявки на участие в нем, все участники закупки и их заявки были признаны соответствующими извещению об осуществлении закупки и Закону о контрактной системе;</w:t>
      </w:r>
    </w:p>
    <w:p>
      <w:pPr>
        <w:pStyle w:val="Style16"/>
        <w:keepNext w:val="0"/>
        <w:keepLines w:val="0"/>
        <w:widowControl w:val="0"/>
        <w:numPr>
          <w:ilvl w:val="0"/>
          <w:numId w:val="1"/>
        </w:numPr>
        <w:shd w:val="clear" w:color="auto" w:fill="auto"/>
        <w:tabs>
          <w:tab w:pos="9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14.04.2023 №ИЭОК1 победителем открытого конкурса в электронной форме был признан участник с идентификационным номером 2 (ООО «Спецстройгарант»), предложивший цену контракта - 112 097 268,10 руб.</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Комиссией Ивановского УФАС России было установлено, что в рамках проведения процедуры заключения контракта 24.04.2023 Общество разместило подписанный усиленной электронной подписью проект контракта и информацию о предоставлении обеспечения исполнения контракта в виде независимой гарантии от 21.04.2023, выданной АКБ «Абсолют Банк» (ПАО) (далее - Независимая гарантия).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2 ст. 45 Закона о контрактной системе независимая гарантия должна быть безотзывной и должна содержать:</w:t>
      </w:r>
    </w:p>
    <w:p>
      <w:pPr>
        <w:pStyle w:val="Style16"/>
        <w:keepNext w:val="0"/>
        <w:keepLines w:val="0"/>
        <w:widowControl w:val="0"/>
        <w:numPr>
          <w:ilvl w:val="0"/>
          <w:numId w:val="3"/>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сумму независимой гарантии, подлежащую уплате гарантом заказчику в установленных ч. 15 ст. 44 Закона о контрактной системе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ст. 96 Закона о контрактной системе, а также идентификационный код закупки, при осуществлении которой предоставляется такая независимая гарантия;</w:t>
      </w:r>
    </w:p>
    <w:p>
      <w:pPr>
        <w:pStyle w:val="Style16"/>
        <w:keepNext w:val="0"/>
        <w:keepLines w:val="0"/>
        <w:widowControl w:val="0"/>
        <w:numPr>
          <w:ilvl w:val="0"/>
          <w:numId w:val="3"/>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обязательства принципала, надлежащее исполнение которых обеспечивается независимой гарантией;</w:t>
      </w:r>
    </w:p>
    <w:p>
      <w:pPr>
        <w:pStyle w:val="Style16"/>
        <w:keepNext w:val="0"/>
        <w:keepLines w:val="0"/>
        <w:widowControl w:val="0"/>
        <w:numPr>
          <w:ilvl w:val="0"/>
          <w:numId w:val="3"/>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обязанность гаранта уплатить заказчику неустойку в размере 0,1 процента денежной суммы, подлежащей уплате, за каждый день просрочки;</w:t>
      </w:r>
    </w:p>
    <w:p>
      <w:pPr>
        <w:pStyle w:val="Style16"/>
        <w:keepNext w:val="0"/>
        <w:keepLines w:val="0"/>
        <w:widowControl w:val="0"/>
        <w:numPr>
          <w:ilvl w:val="0"/>
          <w:numId w:val="3"/>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16"/>
        <w:keepNext w:val="0"/>
        <w:keepLines w:val="0"/>
        <w:widowControl w:val="0"/>
        <w:numPr>
          <w:ilvl w:val="0"/>
          <w:numId w:val="3"/>
        </w:numPr>
        <w:shd w:val="clear" w:color="auto" w:fill="auto"/>
        <w:tabs>
          <w:tab w:pos="1116" w:val="left"/>
        </w:tabs>
        <w:bidi w:val="0"/>
        <w:spacing w:before="0" w:after="0" w:line="240" w:lineRule="auto"/>
        <w:ind w:left="0" w:right="0" w:firstLine="720"/>
        <w:jc w:val="both"/>
      </w:pPr>
      <w:r>
        <w:rPr>
          <w:b/>
          <w:bCs/>
          <w:color w:val="000000"/>
          <w:spacing w:val="0"/>
          <w:w w:val="100"/>
          <w:position w:val="0"/>
          <w:shd w:val="clear" w:color="auto" w:fill="auto"/>
          <w:lang w:val="ru-RU" w:eastAsia="ru-RU" w:bidi="ru-RU"/>
        </w:rPr>
        <w:t>срок действия независимой гарантии с учетом требований ст. 44 и 96 Закона о контрактной системе;</w:t>
      </w:r>
    </w:p>
    <w:p>
      <w:pPr>
        <w:pStyle w:val="Style16"/>
        <w:keepNext w:val="0"/>
        <w:keepLines w:val="0"/>
        <w:widowControl w:val="0"/>
        <w:numPr>
          <w:ilvl w:val="0"/>
          <w:numId w:val="3"/>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pPr>
        <w:pStyle w:val="Style16"/>
        <w:keepNext w:val="0"/>
        <w:keepLines w:val="0"/>
        <w:widowControl w:val="0"/>
        <w:numPr>
          <w:ilvl w:val="0"/>
          <w:numId w:val="3"/>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установленный Правительством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 3 ст. 96 Закона о контрактной системе исполнение контракта, гарантийные обязательства могут обеспечиваться предоставлением независимой гарантии,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w:t>
      </w:r>
      <w:r>
        <w:rPr>
          <w:b/>
          <w:bCs/>
          <w:color w:val="000000"/>
          <w:spacing w:val="0"/>
          <w:w w:val="100"/>
          <w:position w:val="0"/>
          <w:shd w:val="clear" w:color="auto" w:fill="auto"/>
          <w:lang w:val="ru-RU" w:eastAsia="ru-RU" w:bidi="ru-RU"/>
        </w:rPr>
        <w:t>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5 ст. 45 Закона о контрактной системе заказчик рассматривает поступившую независимую гарантию в срок, не превышающий трех рабочих дней со дня ее поступления, если настоящим Федеральным законом не установлено иное.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ч. 6 ст. 45 Закона о контрактной системе основанием для отказа в принятии независимой гарантии заказчиком является:</w:t>
      </w:r>
    </w:p>
    <w:p>
      <w:pPr>
        <w:pStyle w:val="Style16"/>
        <w:keepNext w:val="0"/>
        <w:keepLines w:val="0"/>
        <w:widowControl w:val="0"/>
        <w:numPr>
          <w:ilvl w:val="0"/>
          <w:numId w:val="5"/>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отсутствие информации о независимой гарантии в предусмотренных настоящей статьей реестрах независимых гарантий;</w:t>
      </w:r>
    </w:p>
    <w:p>
      <w:pPr>
        <w:pStyle w:val="Style16"/>
        <w:keepNext w:val="0"/>
        <w:keepLines w:val="0"/>
        <w:widowControl w:val="0"/>
        <w:numPr>
          <w:ilvl w:val="0"/>
          <w:numId w:val="5"/>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несоответствие независимой гарантии требованиям, предусмотренным частями 2, 3 и 8.2 настоящей статьи;</w:t>
      </w:r>
    </w:p>
    <w:p>
      <w:pPr>
        <w:pStyle w:val="Style16"/>
        <w:keepNext w:val="0"/>
        <w:keepLines w:val="0"/>
        <w:widowControl w:val="0"/>
        <w:numPr>
          <w:ilvl w:val="0"/>
          <w:numId w:val="5"/>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в принятии вышеуказанной Независимой гарантии отказал, составив протокол признания Общества уклонившимся от заключения контракта от 25.04.2023 №ППУ20_1 (далее - Протокол). В Протоколе указано, что основанием для отказа в принятии Независимой гарантии является её несоответствие требованиям ч. 3 ст. 96 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Проанализировав положения Независимой гарантии, Комиссия Ивановского УФАС России установила, что срок действия Независимой гарантии - 31.01.2024. При этом в п. 3.3 проекта контракта извещения о проведении закупки указано, что срок выполнения работ (оказания услуг) - с момента заключения контракта до 30.11.2024. Таким образом, срок действия Независимой гарантии не соответствует требованиям Закона о контрактной системе, поскольку он не превышает срок исполнения обязательств по контракту не менее чем на один месяц. Следовательно, Заказчик, принимая решение об отказе в принятии Независимой гарантии, руководствовался положениями законодательства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Заявителем не была исполнена обязанность, предусмотренная п. 1 ч. 3 ст. 51 Закона о контрактной системе, по предоставлению надлежащего обеспечения исполнения контракта.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1, 2 ч. 6 ст. 51 Закона о контрактной системе в случае, если участником закупки, с которым заключается контракт, не выполнены требования, предусмотренные ч. 3 (за исключением случая, предусмотренного п. 3 ч. 3 ст. 51 Закона о контрактной системе, а также случая, если таким участником закупки в срок, установленный ч. 3 настоящей статьи, не выполнены требования п. 3 ч. 3 настоящей статьи) и ч. 5 настоящей статьи: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такой участник закупки считается уклонившимся от заключения контракта;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Ивановского УФАС России приходит к выводу об отсутствии нарушения в действиях МКУ городского округа Тейково «Служба Заказчика», поскольку Заказчик, отклонив Независимую гарантию и признав Общество уклонившимся от исполнения контракта, исполнил требования Закона о контрактной системе. Таким образом, изложенный в жалобе Общества довод является необоснованным.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Руководствуясь ст. 99, 106 Закона о контрактной системе, Комиссия Ивановского УФАС России</w:t>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И Л А:</w:t>
      </w:r>
      <w:r>
        <w:br w:type="page"/>
      </w:r>
    </w:p>
    <w:p>
      <w:pPr>
        <w:pStyle w:val="Style16"/>
        <w:keepNext w:val="0"/>
        <w:keepLines w:val="0"/>
        <w:widowControl w:val="0"/>
        <w:shd w:val="clear" w:color="auto" w:fill="auto"/>
        <w:bidi w:val="0"/>
        <w:spacing w:before="0" w:after="560" w:line="240" w:lineRule="auto"/>
        <w:ind w:left="0" w:right="0" w:firstLine="720"/>
        <w:jc w:val="both"/>
      </w:pPr>
      <w:r>
        <w:rPr>
          <w:color w:val="000000"/>
          <w:spacing w:val="0"/>
          <w:w w:val="100"/>
          <w:position w:val="0"/>
          <w:shd w:val="clear" w:color="auto" w:fill="auto"/>
          <w:lang w:val="ru-RU" w:eastAsia="ru-RU" w:bidi="ru-RU"/>
        </w:rPr>
        <w:t>Признать жалобу ООО «Спецстройгарант» на действия МКУ городского округа Тейково «Служба Заказчика» при проведении открытого конкурса в электронной форме на строительство Центра культурного развития в г.о. Тейково по адресу: Ивановская область, г. Тейково, ул. Молодежная, д. 7А (извещение 0133200001723001043) необоснованной.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397" w:right="538" w:bottom="1191" w:left="1100" w:header="0" w:footer="3" w:gutter="0"/>
          <w:cols w:space="720"/>
          <w:noEndnote/>
          <w:rtlGutter w:val="0"/>
          <w:docGrid w:linePitch="360"/>
        </w:sectPr>
      </w:pPr>
      <w:r>
        <mc:AlternateContent>
          <mc:Choice Requires="wps">
            <w:drawing>
              <wp:anchor distT="469900" distB="368935" distL="0" distR="0" simplePos="0" relativeHeight="125829378" behindDoc="0" locked="0" layoutInCell="1" allowOverlap="1">
                <wp:simplePos x="0" y="0"/>
                <wp:positionH relativeFrom="page">
                  <wp:posOffset>735965</wp:posOffset>
                </wp:positionH>
                <wp:positionV relativeFrom="paragraph">
                  <wp:posOffset>469900</wp:posOffset>
                </wp:positionV>
                <wp:extent cx="1874520" cy="252730"/>
                <wp:wrapTopAndBottom/>
                <wp:docPr id="5" name="Shape 5"/>
                <a:graphic xmlns:a="http://schemas.openxmlformats.org/drawingml/2006/main">
                  <a:graphicData uri="http://schemas.microsoft.com/office/word/2010/wordprocessingShape">
                    <wps:wsp>
                      <wps:cNvSpPr txBox="1"/>
                      <wps:spPr>
                        <a:xfrm>
                          <a:ext cx="187452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950000000000003pt;margin-top:37.pt;width:147.59999999999999pt;height:19.900000000000002pt;z-index:-125829375;mso-wrap-distance-left:0;mso-wrap-distance-top:37.pt;mso-wrap-distance-right:0;mso-wrap-distance-bottom:29.05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554990" distB="0" distL="0" distR="1798320" simplePos="0" relativeHeight="125829380" behindDoc="0" locked="0" layoutInCell="1" allowOverlap="1">
            <wp:simplePos x="0" y="0"/>
            <wp:positionH relativeFrom="page">
              <wp:posOffset>3220085</wp:posOffset>
            </wp:positionH>
            <wp:positionV relativeFrom="paragraph">
              <wp:posOffset>554990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3680460</wp:posOffset>
                </wp:positionH>
                <wp:positionV relativeFrom="paragraph">
                  <wp:posOffset>957580</wp:posOffset>
                </wp:positionV>
                <wp:extent cx="1289050" cy="103505"/>
                <wp:wrapNone/>
                <wp:docPr id="9" name="Shape 9"/>
                <a:graphic xmlns:a="http://schemas.openxmlformats.org/drawingml/2006/main">
                  <a:graphicData uri="http://schemas.microsoft.com/office/word/2010/wordprocessingShape">
                    <wps:wsp>
                      <wps:cNvSpPr txBox="1"/>
                      <wps:spPr>
                        <a:xfrm>
                          <a:ext cx="1289050"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7E7E7"/>
                                <w:spacing w:val="0"/>
                                <w:w w:val="100"/>
                                <w:position w:val="0"/>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35" type="#_x0000_t202" style="position:absolute;margin-left:289.80000000000001pt;margin-top:75.400000000000006pt;width:101.5pt;height:8.1500000000000004pt;z-index:251657729;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7E7E7"/>
                          <w:spacing w:val="0"/>
                          <w:w w:val="100"/>
                          <w:position w:val="0"/>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3637915</wp:posOffset>
                </wp:positionH>
                <wp:positionV relativeFrom="paragraph">
                  <wp:posOffset>643255</wp:posOffset>
                </wp:positionV>
                <wp:extent cx="1731010" cy="259080"/>
                <wp:wrapNone/>
                <wp:docPr id="11" name="Shape 11"/>
                <a:graphic xmlns:a="http://schemas.openxmlformats.org/drawingml/2006/main">
                  <a:graphicData uri="http://schemas.microsoft.com/office/word/2010/wordprocessingShape">
                    <wps:wsp>
                      <wps:cNvSpPr txBox="1"/>
                      <wps:spPr>
                        <a:xfrm>
                          <a:ext cx="1731010" cy="259080"/>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86.44999999999999pt;margin-top:50.649999999999999pt;width:136.30000000000001pt;height:20.40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469900" distB="368935" distL="0" distR="0" simplePos="0" relativeHeight="125829381" behindDoc="0" locked="0" layoutInCell="1" allowOverlap="1">
                <wp:simplePos x="0" y="0"/>
                <wp:positionH relativeFrom="page">
                  <wp:posOffset>6152515</wp:posOffset>
                </wp:positionH>
                <wp:positionV relativeFrom="paragraph">
                  <wp:posOffset>469900</wp:posOffset>
                </wp:positionV>
                <wp:extent cx="1039495" cy="252730"/>
                <wp:wrapTopAndBottom/>
                <wp:docPr id="13" name="Shape 13"/>
                <a:graphic xmlns:a="http://schemas.openxmlformats.org/drawingml/2006/main">
                  <a:graphicData uri="http://schemas.microsoft.com/office/word/2010/wordprocessingShape">
                    <wps:wsp>
                      <wps:cNvSpPr txBox="1"/>
                      <wps:spPr>
                        <a:xfrm>
                          <a:ext cx="1039495"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Т.А. Михеева</w:t>
                            </w:r>
                          </w:p>
                        </w:txbxContent>
                      </wps:txbx>
                      <wps:bodyPr wrap="none" lIns="0" tIns="0" rIns="0" bIns="0">
                        <a:noAutoFit/>
                      </wps:bodyPr>
                    </wps:wsp>
                  </a:graphicData>
                </a:graphic>
              </wp:anchor>
            </w:drawing>
          </mc:Choice>
          <mc:Fallback>
            <w:pict>
              <v:shape id="_x0000_s1039" type="#_x0000_t202" style="position:absolute;margin-left:484.44999999999999pt;margin-top:37.pt;width:81.850000000000009pt;height:19.900000000000002pt;z-index:-125829372;mso-wrap-distance-left:0;mso-wrap-distance-top:37.pt;mso-wrap-distance-right:0;mso-wrap-distance-bottom:29.05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Т.А. Михеева</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980" w:right="0" w:firstLine="0"/>
        <w:jc w:val="left"/>
        <w:rPr>
          <w:sz w:val="12"/>
          <w:szCs w:val="12"/>
        </w:rPr>
      </w:pPr>
      <w:r>
        <w:rPr>
          <w:rFonts w:ascii="Arial" w:eastAsia="Arial" w:hAnsi="Arial" w:cs="Arial"/>
          <w:color w:val="252525"/>
          <w:spacing w:val="0"/>
          <w:w w:val="100"/>
          <w:position w:val="0"/>
          <w:sz w:val="12"/>
          <w:szCs w:val="12"/>
          <w:shd w:val="clear" w:color="auto" w:fill="auto"/>
          <w:lang w:val="ru-RU" w:eastAsia="ru-RU" w:bidi="ru-RU"/>
        </w:rPr>
        <w:t xml:space="preserve">Кому </w:t>
      </w:r>
      <w:r>
        <w:rPr>
          <w:rFonts w:ascii="Arial" w:eastAsia="Arial" w:hAnsi="Arial" w:cs="Arial"/>
          <w:color w:val="4A4A4A"/>
          <w:spacing w:val="0"/>
          <w:w w:val="100"/>
          <w:position w:val="0"/>
          <w:sz w:val="12"/>
          <w:szCs w:val="12"/>
          <w:shd w:val="clear" w:color="auto" w:fill="auto"/>
          <w:lang w:val="ru-RU" w:eastAsia="ru-RU" w:bidi="ru-RU"/>
        </w:rPr>
        <w:t xml:space="preserve">выдан: </w:t>
      </w:r>
      <w:r>
        <w:rPr>
          <w:rFonts w:ascii="Arial" w:eastAsia="Arial" w:hAnsi="Arial" w:cs="Arial"/>
          <w:b/>
          <w:bCs/>
          <w:color w:val="000000"/>
          <w:spacing w:val="0"/>
          <w:w w:val="100"/>
          <w:position w:val="0"/>
          <w:sz w:val="12"/>
          <w:szCs w:val="12"/>
          <w:shd w:val="clear" w:color="auto" w:fill="auto"/>
          <w:lang w:val="ru-RU" w:eastAsia="ru-RU" w:bidi="ru-RU"/>
        </w:rPr>
        <w:t>Михеева Татьяна Алексеевна</w:t>
      </w:r>
    </w:p>
    <w:p>
      <w:pPr>
        <w:pStyle w:val="Style2"/>
        <w:keepNext w:val="0"/>
        <w:keepLines w:val="0"/>
        <w:widowControl w:val="0"/>
        <w:shd w:val="clear" w:color="auto" w:fill="auto"/>
        <w:bidi w:val="0"/>
        <w:spacing w:before="0" w:after="0" w:line="240" w:lineRule="auto"/>
        <w:ind w:left="3980" w:right="0" w:firstLine="0"/>
        <w:jc w:val="left"/>
        <w:rPr>
          <w:sz w:val="12"/>
          <w:szCs w:val="12"/>
        </w:rPr>
      </w:pPr>
      <w:r>
        <w:rPr>
          <w:rFonts w:ascii="Arial" w:eastAsia="Arial" w:hAnsi="Arial" w:cs="Arial"/>
          <w:color w:val="4A4A4A"/>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A4A4A"/>
          <w:spacing w:val="0"/>
          <w:w w:val="100"/>
          <w:position w:val="0"/>
          <w:sz w:val="12"/>
          <w:szCs w:val="12"/>
          <w:shd w:val="clear" w:color="auto" w:fill="auto"/>
          <w:lang w:val="ru-RU" w:eastAsia="ru-RU" w:bidi="ru-RU"/>
        </w:rPr>
        <w:t>00Е241</w:t>
      </w:r>
      <w:r>
        <w:rPr>
          <w:rFonts w:ascii="Arial" w:eastAsia="Arial" w:hAnsi="Arial" w:cs="Arial"/>
          <w:color w:val="000000"/>
          <w:spacing w:val="0"/>
          <w:w w:val="100"/>
          <w:position w:val="0"/>
          <w:sz w:val="12"/>
          <w:szCs w:val="12"/>
          <w:shd w:val="clear" w:color="auto" w:fill="auto"/>
          <w:lang w:val="ru-RU" w:eastAsia="ru-RU" w:bidi="ru-RU"/>
        </w:rPr>
        <w:t>1</w:t>
      </w:r>
      <w:r>
        <w:rPr>
          <w:rFonts w:ascii="Arial" w:eastAsia="Arial" w:hAnsi="Arial" w:cs="Arial"/>
          <w:color w:val="4A4A4A"/>
          <w:spacing w:val="0"/>
          <w:w w:val="100"/>
          <w:position w:val="0"/>
          <w:sz w:val="12"/>
          <w:szCs w:val="12"/>
          <w:shd w:val="clear" w:color="auto" w:fill="auto"/>
          <w:lang w:val="ru-RU" w:eastAsia="ru-RU" w:bidi="ru-RU"/>
        </w:rPr>
        <w:t>Е29С55А37443Е42838ВА3446Е04</w:t>
      </w:r>
    </w:p>
    <w:p>
      <w:pPr>
        <w:pStyle w:val="Style2"/>
        <w:keepNext w:val="0"/>
        <w:keepLines w:val="0"/>
        <w:widowControl w:val="0"/>
        <w:shd w:val="clear" w:color="auto" w:fill="auto"/>
        <w:bidi w:val="0"/>
        <w:spacing w:before="0" w:after="240" w:line="240" w:lineRule="auto"/>
        <w:ind w:left="3980" w:right="0" w:firstLine="0"/>
        <w:jc w:val="left"/>
        <w:rPr>
          <w:sz w:val="12"/>
          <w:szCs w:val="12"/>
        </w:rPr>
      </w:pPr>
      <w:r>
        <w:rPr>
          <w:rFonts w:ascii="Arial" w:eastAsia="Arial" w:hAnsi="Arial" w:cs="Arial"/>
          <w:color w:val="4A4A4A"/>
          <w:spacing w:val="0"/>
          <w:w w:val="100"/>
          <w:position w:val="0"/>
          <w:sz w:val="12"/>
          <w:szCs w:val="12"/>
          <w:shd w:val="clear" w:color="auto" w:fill="auto"/>
          <w:lang w:val="ru-RU" w:eastAsia="ru-RU" w:bidi="ru-RU"/>
        </w:rPr>
        <w:t xml:space="preserve">Действителен </w:t>
      </w:r>
      <w:r>
        <w:rPr>
          <w:rFonts w:ascii="Arial" w:eastAsia="Arial" w:hAnsi="Arial" w:cs="Arial"/>
          <w:color w:val="252525"/>
          <w:spacing w:val="0"/>
          <w:w w:val="100"/>
          <w:position w:val="0"/>
          <w:sz w:val="12"/>
          <w:szCs w:val="12"/>
          <w:shd w:val="clear" w:color="auto" w:fill="auto"/>
          <w:lang w:val="ru-RU" w:eastAsia="ru-RU" w:bidi="ru-RU"/>
        </w:rPr>
        <w:t xml:space="preserve">с </w:t>
      </w:r>
      <w:r>
        <w:rPr>
          <w:rFonts w:ascii="Arial" w:eastAsia="Arial" w:hAnsi="Arial" w:cs="Arial"/>
          <w:color w:val="6A6A6A"/>
          <w:spacing w:val="0"/>
          <w:w w:val="100"/>
          <w:position w:val="0"/>
          <w:sz w:val="12"/>
          <w:szCs w:val="12"/>
          <w:shd w:val="clear" w:color="auto" w:fill="auto"/>
          <w:lang w:val="ru-RU" w:eastAsia="ru-RU" w:bidi="ru-RU"/>
        </w:rPr>
        <w:t>27.01.2023 по 21</w:t>
      </w:r>
      <w:r>
        <w:rPr>
          <w:rFonts w:ascii="Arial" w:eastAsia="Arial" w:hAnsi="Arial" w:cs="Arial"/>
          <w:color w:val="4A4A4A"/>
          <w:spacing w:val="0"/>
          <w:w w:val="100"/>
          <w:position w:val="0"/>
          <w:sz w:val="12"/>
          <w:szCs w:val="12"/>
          <w:shd w:val="clear" w:color="auto" w:fill="auto"/>
          <w:lang w:val="ru-RU" w:eastAsia="ru-RU" w:bidi="ru-RU"/>
        </w:rPr>
        <w:t>.04.2024</w:t>
      </w:r>
    </w:p>
    <w:p>
      <w:pPr>
        <w:pStyle w:val="Style16"/>
        <w:keepNext w:val="0"/>
        <w:keepLines w:val="0"/>
        <w:widowControl w:val="0"/>
        <w:shd w:val="clear" w:color="auto" w:fill="auto"/>
        <w:bidi w:val="0"/>
        <w:spacing w:before="0" w:after="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16"/>
        <w:keepNext w:val="0"/>
        <w:keepLines w:val="0"/>
        <w:widowControl w:val="0"/>
        <w:shd w:val="clear" w:color="auto" w:fill="auto"/>
        <w:bidi w:val="0"/>
        <w:spacing w:before="0" w:after="700" w:line="240" w:lineRule="auto"/>
        <w:ind w:left="0" w:right="0" w:firstLine="0"/>
        <w:jc w:val="right"/>
        <w:rPr>
          <w:sz w:val="28"/>
          <w:szCs w:val="28"/>
        </w:rPr>
      </w:pPr>
      <w:r>
        <w:drawing>
          <wp:anchor distT="0" distB="0" distL="114300" distR="1894205" simplePos="0" relativeHeight="125829383" behindDoc="0" locked="0" layoutInCell="1" allowOverlap="1">
            <wp:simplePos x="0" y="0"/>
            <wp:positionH relativeFrom="page">
              <wp:posOffset>3238500</wp:posOffset>
            </wp:positionH>
            <wp:positionV relativeFrom="paragraph">
              <wp:posOffset>101600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3698875</wp:posOffset>
                </wp:positionH>
                <wp:positionV relativeFrom="paragraph">
                  <wp:posOffset>504190</wp:posOffset>
                </wp:positionV>
                <wp:extent cx="1276985" cy="103505"/>
                <wp:wrapNone/>
                <wp:docPr id="17" name="Shape 17"/>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91.25pt;margin-top:39.700000000000003pt;width:100.55pt;height:8.1500000000000004pt;z-index:251657733;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3656330</wp:posOffset>
                </wp:positionH>
                <wp:positionV relativeFrom="paragraph">
                  <wp:posOffset>193040</wp:posOffset>
                </wp:positionV>
                <wp:extent cx="1715770" cy="255905"/>
                <wp:wrapNone/>
                <wp:docPr id="19" name="Shape 19"/>
                <a:graphic xmlns:a="http://schemas.openxmlformats.org/drawingml/2006/main">
                  <a:graphicData uri="http://schemas.microsoft.com/office/word/2010/wordprocessingShape">
                    <wps:wsp>
                      <wps:cNvSpPr txBox="1"/>
                      <wps:spPr>
                        <a:xfrm>
                          <a:ext cx="1715770"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87.90000000000003pt;margin-top:15.200000000000001pt;width:135.09999999999999pt;height:20.150000000000002pt;z-index:251657735;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Ю.К. Притуманова</w:t>
      </w:r>
    </w:p>
    <w:p>
      <w:pPr>
        <w:pStyle w:val="Style2"/>
        <w:keepNext w:val="0"/>
        <w:keepLines w:val="0"/>
        <w:widowControl w:val="0"/>
        <w:shd w:val="clear" w:color="auto" w:fill="auto"/>
        <w:bidi w:val="0"/>
        <w:spacing w:before="0" w:after="0" w:line="240" w:lineRule="auto"/>
        <w:ind w:left="3980" w:right="0" w:firstLine="0"/>
        <w:jc w:val="left"/>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Кому выдан: </w:t>
      </w:r>
      <w:r>
        <w:rPr>
          <w:rFonts w:ascii="Arial" w:eastAsia="Arial" w:hAnsi="Arial" w:cs="Arial"/>
          <w:b/>
          <w:bCs/>
          <w:color w:val="000000"/>
          <w:spacing w:val="0"/>
          <w:w w:val="100"/>
          <w:position w:val="0"/>
          <w:sz w:val="12"/>
          <w:szCs w:val="12"/>
          <w:shd w:val="clear" w:color="auto" w:fill="auto"/>
          <w:lang w:val="ru-RU" w:eastAsia="ru-RU" w:bidi="ru-RU"/>
        </w:rPr>
        <w:t>Притуманова Юлия Константиновна</w:t>
      </w:r>
    </w:p>
    <w:p>
      <w:pPr>
        <w:pStyle w:val="Style2"/>
        <w:keepNext w:val="0"/>
        <w:keepLines w:val="0"/>
        <w:widowControl w:val="0"/>
        <w:shd w:val="clear" w:color="auto" w:fill="auto"/>
        <w:bidi w:val="0"/>
        <w:spacing w:before="0" w:after="0" w:line="240" w:lineRule="auto"/>
        <w:ind w:left="3980" w:right="0" w:firstLine="0"/>
        <w:jc w:val="left"/>
        <w:rPr>
          <w:sz w:val="12"/>
          <w:szCs w:val="12"/>
        </w:rPr>
      </w:pPr>
      <w:r>
        <w:rPr>
          <w:rFonts w:ascii="Arial" w:eastAsia="Arial" w:hAnsi="Arial" w:cs="Arial"/>
          <w:color w:val="252525"/>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252525"/>
          <w:spacing w:val="0"/>
          <w:w w:val="100"/>
          <w:position w:val="0"/>
          <w:sz w:val="12"/>
          <w:szCs w:val="12"/>
          <w:shd w:val="clear" w:color="auto" w:fill="auto"/>
          <w:lang w:val="ru-RU" w:eastAsia="ru-RU" w:bidi="ru-RU"/>
        </w:rPr>
        <w:t>46613505ЕС1Е050Е8Е6С87760ВВ07В74</w:t>
      </w:r>
    </w:p>
    <w:p>
      <w:pPr>
        <w:pStyle w:val="Style2"/>
        <w:keepNext w:val="0"/>
        <w:keepLines w:val="0"/>
        <w:widowControl w:val="0"/>
        <w:shd w:val="clear" w:color="auto" w:fill="auto"/>
        <w:bidi w:val="0"/>
        <w:spacing w:before="0" w:after="240" w:line="240" w:lineRule="auto"/>
        <w:ind w:left="3980" w:right="0" w:firstLine="0"/>
        <w:jc w:val="left"/>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Действителен </w:t>
      </w:r>
      <w:r>
        <w:rPr>
          <w:rFonts w:ascii="Arial" w:eastAsia="Arial" w:hAnsi="Arial" w:cs="Arial"/>
          <w:color w:val="252525"/>
          <w:spacing w:val="0"/>
          <w:w w:val="100"/>
          <w:position w:val="0"/>
          <w:sz w:val="12"/>
          <w:szCs w:val="12"/>
          <w:shd w:val="clear" w:color="auto" w:fill="auto"/>
          <w:lang w:val="ru-RU" w:eastAsia="ru-RU" w:bidi="ru-RU"/>
        </w:rPr>
        <w:t xml:space="preserve">с </w:t>
      </w:r>
      <w:r>
        <w:rPr>
          <w:rFonts w:ascii="Arial" w:eastAsia="Arial" w:hAnsi="Arial" w:cs="Arial"/>
          <w:color w:val="6A6A6A"/>
          <w:spacing w:val="0"/>
          <w:w w:val="100"/>
          <w:position w:val="0"/>
          <w:sz w:val="12"/>
          <w:szCs w:val="12"/>
          <w:shd w:val="clear" w:color="auto" w:fill="auto"/>
          <w:lang w:val="ru-RU" w:eastAsia="ru-RU" w:bidi="ru-RU"/>
        </w:rPr>
        <w:t xml:space="preserve">18.01.2023 </w:t>
      </w:r>
      <w:r>
        <w:rPr>
          <w:rFonts w:ascii="Arial" w:eastAsia="Arial" w:hAnsi="Arial" w:cs="Arial"/>
          <w:color w:val="8E8E8E"/>
          <w:spacing w:val="0"/>
          <w:w w:val="100"/>
          <w:position w:val="0"/>
          <w:sz w:val="12"/>
          <w:szCs w:val="12"/>
          <w:shd w:val="clear" w:color="auto" w:fill="auto"/>
          <w:lang w:val="ru-RU" w:eastAsia="ru-RU" w:bidi="ru-RU"/>
        </w:rPr>
        <w:t xml:space="preserve">по </w:t>
      </w:r>
      <w:r>
        <w:rPr>
          <w:rFonts w:ascii="Arial" w:eastAsia="Arial" w:hAnsi="Arial" w:cs="Arial"/>
          <w:color w:val="6A6A6A"/>
          <w:spacing w:val="0"/>
          <w:w w:val="100"/>
          <w:position w:val="0"/>
          <w:sz w:val="12"/>
          <w:szCs w:val="12"/>
          <w:shd w:val="clear" w:color="auto" w:fill="auto"/>
          <w:lang w:val="ru-RU" w:eastAsia="ru-RU" w:bidi="ru-RU"/>
        </w:rPr>
        <w:t>12.04.2024</w:t>
      </w:r>
    </w:p>
    <w:p>
      <w:pPr>
        <w:pStyle w:val="Style1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Г.П. Долакидзе</w:t>
      </w:r>
    </w:p>
    <w:p>
      <w:pPr>
        <w:widowControl w:val="0"/>
        <w:spacing w:line="1" w:lineRule="exact"/>
      </w:pPr>
      <w:r>
        <w:drawing>
          <wp:anchor distT="12700" distB="0" distL="0" distR="1798320" simplePos="0" relativeHeight="125829384" behindDoc="0" locked="0" layoutInCell="1" allowOverlap="1">
            <wp:simplePos x="0" y="0"/>
            <wp:positionH relativeFrom="page">
              <wp:posOffset>3262630</wp:posOffset>
            </wp:positionH>
            <wp:positionV relativeFrom="paragraph">
              <wp:posOffset>12700</wp:posOffset>
            </wp:positionV>
            <wp:extent cx="311150" cy="36576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3655695</wp:posOffset>
                </wp:positionH>
                <wp:positionV relativeFrom="paragraph">
                  <wp:posOffset>85725</wp:posOffset>
                </wp:positionV>
                <wp:extent cx="1715770" cy="252730"/>
                <wp:wrapNone/>
                <wp:docPr id="23" name="Shape 23"/>
                <a:graphic xmlns:a="http://schemas.openxmlformats.org/drawingml/2006/main">
                  <a:graphicData uri="http://schemas.microsoft.com/office/word/2010/wordprocessingShape">
                    <wps:wsp>
                      <wps:cNvSpPr txBox="1"/>
                      <wps:spPr>
                        <a:xfrm>
                          <a:ext cx="1715770" cy="252730"/>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87.85000000000002pt;margin-top:6.75pt;width:135.09999999999999pt;height:19.900000000000002pt;z-index:251657737;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472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4020" w:right="0" w:firstLine="0"/>
        <w:jc w:val="left"/>
        <w:rPr>
          <w:sz w:val="12"/>
          <w:szCs w:val="12"/>
        </w:rPr>
      </w:pPr>
      <w:r>
        <w:rPr>
          <w:rFonts w:ascii="Arial" w:eastAsia="Arial" w:hAnsi="Arial" w:cs="Arial"/>
          <w:color w:val="8E8E8E"/>
          <w:spacing w:val="0"/>
          <w:w w:val="100"/>
          <w:position w:val="0"/>
          <w:sz w:val="12"/>
          <w:szCs w:val="12"/>
          <w:shd w:val="clear" w:color="auto" w:fill="auto"/>
          <w:lang w:val="ru-RU" w:eastAsia="ru-RU" w:bidi="ru-RU"/>
        </w:rPr>
        <w:t xml:space="preserve">Кому </w:t>
      </w:r>
      <w:r>
        <w:rPr>
          <w:rFonts w:ascii="Arial" w:eastAsia="Arial" w:hAnsi="Arial" w:cs="Arial"/>
          <w:color w:val="6A6A6A"/>
          <w:spacing w:val="0"/>
          <w:w w:val="100"/>
          <w:position w:val="0"/>
          <w:sz w:val="12"/>
          <w:szCs w:val="12"/>
          <w:shd w:val="clear" w:color="auto" w:fill="auto"/>
          <w:lang w:val="ru-RU" w:eastAsia="ru-RU" w:bidi="ru-RU"/>
        </w:rPr>
        <w:t xml:space="preserve">выдан: </w:t>
      </w:r>
      <w:r>
        <w:rPr>
          <w:rFonts w:ascii="Arial" w:eastAsia="Arial" w:hAnsi="Arial" w:cs="Arial"/>
          <w:b/>
          <w:bCs/>
          <w:color w:val="000000"/>
          <w:spacing w:val="0"/>
          <w:w w:val="100"/>
          <w:position w:val="0"/>
          <w:sz w:val="12"/>
          <w:szCs w:val="12"/>
          <w:shd w:val="clear" w:color="auto" w:fill="auto"/>
          <w:lang w:val="ru-RU" w:eastAsia="ru-RU" w:bidi="ru-RU"/>
        </w:rPr>
        <w:t>Георгий Паатаевич Долакидзе</w:t>
      </w:r>
    </w:p>
    <w:p>
      <w:pPr>
        <w:pStyle w:val="Style2"/>
        <w:keepNext w:val="0"/>
        <w:keepLines w:val="0"/>
        <w:widowControl w:val="0"/>
        <w:shd w:val="clear" w:color="auto" w:fill="auto"/>
        <w:bidi w:val="0"/>
        <w:spacing w:before="0" w:after="0" w:line="240" w:lineRule="auto"/>
        <w:ind w:left="4020" w:right="0" w:firstLine="0"/>
        <w:jc w:val="left"/>
        <w:rPr>
          <w:sz w:val="12"/>
          <w:szCs w:val="12"/>
        </w:rPr>
      </w:pPr>
      <w:r>
        <w:rPr>
          <w:rFonts w:ascii="Arial" w:eastAsia="Arial" w:hAnsi="Arial" w:cs="Arial"/>
          <w:color w:val="4A4A4A"/>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A4A4A"/>
          <w:spacing w:val="0"/>
          <w:w w:val="100"/>
          <w:position w:val="0"/>
          <w:sz w:val="12"/>
          <w:szCs w:val="12"/>
          <w:shd w:val="clear" w:color="auto" w:fill="auto"/>
          <w:lang w:val="ru-RU" w:eastAsia="ru-RU" w:bidi="ru-RU"/>
        </w:rPr>
        <w:t>0002503129В8ВЕВ61</w:t>
      </w:r>
      <w:r>
        <w:rPr>
          <w:rFonts w:ascii="Arial" w:eastAsia="Arial" w:hAnsi="Arial" w:cs="Arial"/>
          <w:color w:val="6A6A6A"/>
          <w:spacing w:val="0"/>
          <w:w w:val="100"/>
          <w:position w:val="0"/>
          <w:sz w:val="12"/>
          <w:szCs w:val="12"/>
          <w:shd w:val="clear" w:color="auto" w:fill="auto"/>
          <w:lang w:val="ru-RU" w:eastAsia="ru-RU" w:bidi="ru-RU"/>
        </w:rPr>
        <w:t>АЕ08ЕААЕЗГ65Е0276</w:t>
      </w:r>
    </w:p>
    <w:p>
      <w:pPr>
        <w:pStyle w:val="Style2"/>
        <w:keepNext w:val="0"/>
        <w:keepLines w:val="0"/>
        <w:widowControl w:val="0"/>
        <w:shd w:val="clear" w:color="auto" w:fill="auto"/>
        <w:bidi w:val="0"/>
        <w:spacing w:before="0" w:after="60" w:line="240" w:lineRule="auto"/>
        <w:ind w:left="4020" w:right="0" w:firstLine="0"/>
        <w:jc w:val="left"/>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w:t>
      </w:r>
      <w:r>
        <w:rPr>
          <w:rFonts w:ascii="Arial" w:eastAsia="Arial" w:hAnsi="Arial" w:cs="Arial"/>
          <w:color w:val="4A4A4A"/>
          <w:spacing w:val="0"/>
          <w:w w:val="100"/>
          <w:position w:val="0"/>
          <w:sz w:val="12"/>
          <w:szCs w:val="12"/>
          <w:shd w:val="clear" w:color="auto" w:fill="auto"/>
          <w:lang w:val="ru-RU" w:eastAsia="ru-RU" w:bidi="ru-RU"/>
        </w:rPr>
        <w:t xml:space="preserve">25.03.2022 </w:t>
      </w:r>
      <w:r>
        <w:rPr>
          <w:rFonts w:ascii="Arial" w:eastAsia="Arial" w:hAnsi="Arial" w:cs="Arial"/>
          <w:color w:val="8E8E8E"/>
          <w:spacing w:val="0"/>
          <w:w w:val="100"/>
          <w:position w:val="0"/>
          <w:sz w:val="12"/>
          <w:szCs w:val="12"/>
          <w:shd w:val="clear" w:color="auto" w:fill="auto"/>
          <w:lang w:val="ru-RU" w:eastAsia="ru-RU" w:bidi="ru-RU"/>
        </w:rPr>
        <w:t xml:space="preserve">по </w:t>
      </w:r>
      <w:r>
        <w:rPr>
          <w:rFonts w:ascii="Arial" w:eastAsia="Arial" w:hAnsi="Arial" w:cs="Arial"/>
          <w:color w:val="6A6A6A"/>
          <w:spacing w:val="0"/>
          <w:w w:val="100"/>
          <w:position w:val="0"/>
          <w:sz w:val="12"/>
          <w:szCs w:val="12"/>
          <w:shd w:val="clear" w:color="auto" w:fill="auto"/>
          <w:lang w:val="ru-RU" w:eastAsia="ru-RU" w:bidi="ru-RU"/>
        </w:rPr>
        <w:t>18.06.2023</w:t>
      </w:r>
    </w:p>
    <w:sectPr>
      <w:footnotePr>
        <w:pos w:val="pageBottom"/>
        <w:numFmt w:val="decimal"/>
        <w:numRestart w:val="continuous"/>
      </w:footnotePr>
      <w:type w:val="continuous"/>
      <w:pgSz w:w="11900" w:h="16840"/>
      <w:pgMar w:top="1407" w:right="541" w:bottom="6209"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10039350</wp:posOffset>
              </wp:positionV>
              <wp:extent cx="572770" cy="100330"/>
              <wp:wrapNone/>
              <wp:docPr id="1" name="Shape 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9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3" name="Shape 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2023-176</w:t>
                          </w:r>
                        </w:p>
                      </w:txbxContent>
                    </wps:txbx>
                    <wps:bodyPr wrap="none" lIns="0" tIns="0" rIns="0" bIns="0">
                      <a:spAutoFit/>
                    </wps:bodyPr>
                  </wps:wsp>
                </a:graphicData>
              </a:graphic>
            </wp:anchor>
          </w:drawing>
        </mc:Choice>
        <mc:Fallback>
          <w:pict>
            <v:shape id="_x0000_s1029"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8">
    <w:name w:val="Заголовок №1_"/>
    <w:basedOn w:val="DefaultParagraphFont"/>
    <w:link w:val="Style27"/>
    <w:rPr>
      <w:rFonts w:ascii="Arial" w:eastAsia="Arial" w:hAnsi="Arial" w:cs="Arial"/>
      <w:b w:val="0"/>
      <w:bCs w:val="0"/>
      <w:i w:val="0"/>
      <w:iCs w:val="0"/>
      <w:smallCaps w:val="0"/>
      <w:strike w:val="0"/>
      <w:sz w:val="42"/>
      <w:szCs w:val="4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2">
    <w:name w:val="Подпись к картинке"/>
    <w:basedOn w:val="Normal"/>
    <w:link w:val="CharStyle23"/>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7">
    <w:name w:val="Заголовок №1"/>
    <w:basedOn w:val="Normal"/>
    <w:link w:val="CharStyle28"/>
    <w:pPr>
      <w:widowControl w:val="0"/>
      <w:shd w:val="clear" w:color="auto" w:fill="auto"/>
      <w:spacing w:after="260"/>
      <w:outlineLvl w:val="0"/>
    </w:pPr>
    <w:rPr>
      <w:rFonts w:ascii="Arial" w:eastAsia="Arial" w:hAnsi="Arial" w:cs="Arial"/>
      <w:b w:val="0"/>
      <w:bCs w:val="0"/>
      <w:i w:val="0"/>
      <w:iCs w:val="0"/>
      <w:smallCaps w:val="0"/>
      <w:strike w:val="0"/>
      <w:sz w:val="42"/>
      <w:szCs w:val="4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