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2194" w:h="336" w:wrap="none" w:hAnchor="page" w:x="1171" w:y="3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ФЕДЕРАЛЬНАЯ</w:t>
      </w:r>
    </w:p>
    <w:p>
      <w:pPr>
        <w:pStyle w:val="Style2"/>
        <w:keepNext w:val="0"/>
        <w:keepLines w:val="0"/>
        <w:framePr w:w="2194" w:h="336" w:wrap="none" w:hAnchor="page" w:x="1171" w:y="3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АН'ГЯМОНОПОЛЬНАЯ СЛУЖБА</w:t>
      </w:r>
    </w:p>
    <w:p>
      <w:pPr>
        <w:pStyle w:val="Style2"/>
        <w:keepNext w:val="0"/>
        <w:keepLines w:val="0"/>
        <w:framePr w:w="1978" w:h="662" w:wrap="none" w:hAnchor="page" w:x="1286" w:y="481"/>
        <w:widowControl w:val="0"/>
        <w:shd w:val="clear" w:color="auto" w:fill="auto"/>
        <w:bidi w:val="0"/>
        <w:spacing w:before="0" w:after="0" w:line="206" w:lineRule="auto"/>
        <w:ind w:left="0" w:right="0" w:firstLine="0"/>
        <w:jc w:val="center"/>
      </w:pPr>
      <w:r>
        <w:rPr>
          <w:smallCaps/>
          <w:color w:val="000000"/>
          <w:spacing w:val="0"/>
          <w:w w:val="100"/>
          <w:position w:val="0"/>
          <w:sz w:val="18"/>
          <w:szCs w:val="18"/>
          <w:shd w:val="clear" w:color="auto" w:fill="auto"/>
          <w:lang w:val="ru-RU" w:eastAsia="ru-RU" w:bidi="ru-RU"/>
        </w:rPr>
        <w:t>уш‘ав.о:нйе</w:t>
        <w:br/>
      </w:r>
      <w:r>
        <w:rPr>
          <w:color w:val="000000"/>
          <w:spacing w:val="0"/>
          <w:w w:val="100"/>
          <w:position w:val="0"/>
          <w:shd w:val="clear" w:color="auto" w:fill="auto"/>
          <w:lang w:val="ru-RU" w:eastAsia="ru-RU" w:bidi="ru-RU"/>
        </w:rPr>
        <w:t>Федеральной антимояипйльноя</w:t>
        <w:br/>
        <w:t xml:space="preserve">службы ис </w:t>
      </w:r>
      <w:r>
        <w:rPr>
          <w:smallCaps/>
          <w:color w:val="000000"/>
          <w:spacing w:val="0"/>
          <w:w w:val="100"/>
          <w:position w:val="0"/>
          <w:sz w:val="18"/>
          <w:szCs w:val="18"/>
          <w:shd w:val="clear" w:color="auto" w:fill="auto"/>
          <w:lang w:val="ru-RU" w:eastAsia="ru-RU" w:bidi="ru-RU"/>
        </w:rPr>
        <w:t>Хфп</w:t>
      </w:r>
      <w:r>
        <w:rPr>
          <w:color w:val="000000"/>
          <w:spacing w:val="0"/>
          <w:w w:val="100"/>
          <w:position w:val="0"/>
          <w:shd w:val="clear" w:color="auto" w:fill="auto"/>
          <w:lang w:val="ru-RU" w:eastAsia="ru-RU" w:bidi="ru-RU"/>
        </w:rPr>
        <w:t xml:space="preserve"> ы-Маисийскому</w:t>
        <w:br/>
        <w:t>актошшшшс округл’ ~ Югре</w:t>
      </w:r>
    </w:p>
    <w:p>
      <w:pPr>
        <w:pStyle w:val="Style5"/>
        <w:keepNext w:val="0"/>
        <w:keepLines w:val="0"/>
        <w:framePr w:w="2405" w:h="475" w:wrap="none" w:hAnchor="page" w:x="1051" w:y="1153"/>
        <w:widowControl w:val="0"/>
        <w:shd w:val="clear" w:color="auto" w:fill="auto"/>
        <w:tabs>
          <w:tab w:pos="1459" w:val="left"/>
        </w:tabs>
        <w:bidi w:val="0"/>
        <w:spacing w:before="0" w:after="0"/>
        <w:ind w:left="0" w:right="0" w:firstLine="0"/>
        <w:jc w:val="center"/>
      </w:pPr>
      <w:r>
        <w:rPr>
          <w:color w:val="000000"/>
          <w:spacing w:val="0"/>
          <w:w w:val="100"/>
          <w:position w:val="0"/>
          <w:shd w:val="clear" w:color="auto" w:fill="auto"/>
          <w:lang w:val="ru-RU" w:eastAsia="ru-RU" w:bidi="ru-RU"/>
        </w:rPr>
        <w:t>М1 Мир* « *</w:t>
      </w:r>
      <w:r>
        <w:rPr>
          <w:color w:val="000000"/>
          <w:spacing w:val="0"/>
          <w:w w:val="100"/>
          <w:position w:val="0"/>
          <w:shd w:val="clear" w:color="auto" w:fill="auto"/>
          <w:vertAlign w:val="superscript"/>
          <w:lang w:val="ru-RU" w:eastAsia="ru-RU" w:bidi="ru-RU"/>
        </w:rPr>
        <w:t>&gt;</w:t>
      </w:r>
      <w:r>
        <w:rPr>
          <w:color w:val="000000"/>
          <w:spacing w:val="0"/>
          <w:w w:val="100"/>
          <w:position w:val="0"/>
          <w:shd w:val="clear" w:color="auto" w:fill="auto"/>
          <w:lang w:val="ru-RU" w:eastAsia="ru-RU" w:bidi="ru-RU"/>
        </w:rPr>
        <w:t xml:space="preserve"> \|]1пМшиШ| 6</w:t>
      </w:r>
      <w:r>
        <w:rPr>
          <w:color w:val="000000"/>
          <w:spacing w:val="0"/>
          <w:w w:val="100"/>
          <w:position w:val="0"/>
          <w:shd w:val="clear" w:color="auto" w:fill="auto"/>
          <w:vertAlign w:val="superscript"/>
          <w:lang w:val="ru-RU" w:eastAsia="ru-RU" w:bidi="ru-RU"/>
        </w:rPr>
        <w:t>(</w:t>
      </w:r>
      <w:r>
        <w:rPr>
          <w:color w:val="000000"/>
          <w:spacing w:val="0"/>
          <w:w w:val="100"/>
          <w:position w:val="0"/>
          <w:shd w:val="clear" w:color="auto" w:fill="auto"/>
          <w:lang w:val="ru-RU" w:eastAsia="ru-RU" w:bidi="ru-RU"/>
        </w:rPr>
        <w:t>МЧ'</w:t>
        <w:br/>
        <w:t>и । ’М фш (</w:t>
        <w:tab/>
        <w:t>’) Ь ’м</w:t>
      </w:r>
      <w:r>
        <w:rPr>
          <w:color w:val="000000"/>
          <w:spacing w:val="0"/>
          <w:w w:val="100"/>
          <w:position w:val="0"/>
          <w:shd w:val="clear" w:color="auto" w:fill="auto"/>
          <w:vertAlign w:val="superscript"/>
          <w:lang w:val="ru-RU" w:eastAsia="ru-RU" w:bidi="ru-RU"/>
        </w:rPr>
        <w:t>5 5</w:t>
      </w:r>
      <w:r>
        <w:rPr>
          <w:color w:val="000000"/>
          <w:spacing w:val="0"/>
          <w:w w:val="100"/>
          <w:position w:val="0"/>
          <w:shd w:val="clear" w:color="auto" w:fill="auto"/>
          <w:lang w:val="ru-RU" w:eastAsia="ru-RU" w:bidi="ru-RU"/>
        </w:rPr>
        <w:t xml:space="preserve"> [</w:t>
      </w:r>
    </w:p>
    <w:p>
      <w:pPr>
        <w:pStyle w:val="Style5"/>
        <w:keepNext w:val="0"/>
        <w:keepLines w:val="0"/>
        <w:framePr w:w="2405" w:h="475" w:wrap="none" w:hAnchor="page" w:x="1051" w:y="1153"/>
        <w:widowControl w:val="0"/>
        <w:shd w:val="clear" w:color="auto" w:fill="auto"/>
        <w:tabs>
          <w:tab w:pos="2131" w:val="left"/>
        </w:tabs>
        <w:bidi w:val="0"/>
        <w:spacing w:before="0" w:after="0"/>
        <w:ind w:left="0" w:right="0" w:firstLine="0"/>
        <w:jc w:val="center"/>
      </w:pPr>
      <w:r>
        <w:rPr>
          <w:color w:val="000000"/>
          <w:spacing w:val="0"/>
          <w:w w:val="100"/>
          <w:position w:val="0"/>
          <w:shd w:val="clear" w:color="auto" w:fill="auto"/>
          <w:lang w:val="ru-RU" w:eastAsia="ru-RU" w:bidi="ru-RU"/>
        </w:rPr>
        <w:t xml:space="preserve">&lt;. И 11 Н&gt; </w:t>
      </w:r>
      <w:r>
        <w:rPr>
          <w:i/>
          <w:iCs/>
          <w:color w:val="000000"/>
          <w:spacing w:val="0"/>
          <w:w w:val="100"/>
          <w:position w:val="0"/>
          <w:shd w:val="clear" w:color="auto" w:fill="auto"/>
          <w:lang w:val="ru-RU" w:eastAsia="ru-RU" w:bidi="ru-RU"/>
        </w:rPr>
        <w:t>•&gt;( ч !</w:t>
      </w:r>
      <w:r>
        <w:rPr>
          <w:color w:val="000000"/>
          <w:spacing w:val="0"/>
          <w:w w:val="100"/>
          <w:position w:val="0"/>
          <w:shd w:val="clear" w:color="auto" w:fill="auto"/>
          <w:lang w:val="ru-RU" w:eastAsia="ru-RU" w:bidi="ru-RU"/>
        </w:rPr>
        <w:t xml:space="preserve"> I роч (и I ЛИ* Н1‘р И1 »)</w:t>
        <w:tab/>
        <w:t>« VI (</w:t>
      </w:r>
    </w:p>
    <w:p>
      <w:pPr>
        <w:pStyle w:val="Style5"/>
        <w:keepNext w:val="0"/>
        <w:keepLines w:val="0"/>
        <w:framePr w:w="3043" w:h="533" w:wrap="none" w:hAnchor="page" w:x="907" w:y="161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МНН 60 У&gt;м &lt; к ГН 6 к»} !ОН’Н )’-чю </w:t>
      </w:r>
      <w:r>
        <w:rPr>
          <w:i/>
          <w:iCs/>
          <w:color w:val="000000"/>
          <w:spacing w:val="0"/>
          <w:w w:val="100"/>
          <w:position w:val="0"/>
          <w:shd w:val="clear" w:color="auto" w:fill="auto"/>
          <w:lang w:val="ru-RU" w:eastAsia="ru-RU" w:bidi="ru-RU"/>
        </w:rPr>
        <w:t>4)3/</w:t>
      </w:r>
    </w:p>
    <w:p>
      <w:pPr>
        <w:pStyle w:val="Style8"/>
        <w:keepNext/>
        <w:keepLines/>
        <w:framePr w:w="3043" w:h="533" w:wrap="none" w:hAnchor="page" w:x="907" w:y="1614"/>
        <w:widowControl w:val="0"/>
        <w:shd w:val="clear" w:color="auto" w:fill="auto"/>
        <w:bidi w:val="0"/>
        <w:spacing w:before="0" w:after="0"/>
        <w:ind w:left="0" w:right="0"/>
        <w:jc w:val="left"/>
      </w:pPr>
      <w:bookmarkStart w:id="0" w:name="bookmark0"/>
      <w:r>
        <w:rPr>
          <w:color w:val="000000"/>
          <w:spacing w:val="0"/>
          <w:w w:val="100"/>
          <w:position w:val="0"/>
          <w:shd w:val="clear" w:color="auto" w:fill="auto"/>
          <w:lang w:val="ru-RU" w:eastAsia="ru-RU" w:bidi="ru-RU"/>
        </w:rPr>
        <w:t>&lt;^'Я</w:t>
      </w:r>
      <w:r>
        <w:rPr>
          <w:color w:val="000000"/>
          <w:spacing w:val="0"/>
          <w:w w:val="100"/>
          <w:position w:val="0"/>
          <w:shd w:val="clear" w:color="auto" w:fill="auto"/>
          <w:vertAlign w:val="subscript"/>
          <w:lang w:val="ru-RU" w:eastAsia="ru-RU" w:bidi="ru-RU"/>
        </w:rPr>
        <w:t>Л</w:t>
      </w:r>
      <w:r>
        <w:rPr>
          <w:color w:val="000000"/>
          <w:spacing w:val="0"/>
          <w:w w:val="100"/>
          <w:position w:val="0"/>
          <w:shd w:val="clear" w:color="auto" w:fill="auto"/>
          <w:lang w:val="ru-RU" w:eastAsia="ru-RU" w:bidi="ru-RU"/>
        </w:rPr>
        <w:t xml:space="preserve"> о$1шр.б</w:t>
      </w:r>
      <w:bookmarkEnd w:id="0"/>
    </w:p>
    <w:p>
      <w:pPr>
        <w:pStyle w:val="Style2"/>
        <w:keepNext w:val="0"/>
        <w:keepLines w:val="0"/>
        <w:framePr w:w="336" w:h="173" w:wrap="none" w:hAnchor="page" w:x="868" w:y="219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На»</w:t>
      </w:r>
    </w:p>
    <w:p>
      <w:pPr>
        <w:pStyle w:val="Style5"/>
        <w:keepNext w:val="0"/>
        <w:keepLines w:val="0"/>
        <w:framePr w:w="173" w:h="154" w:wrap="none" w:hAnchor="page" w:x="2208" w:y="220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от</w:t>
      </w:r>
    </w:p>
    <w:p>
      <w:pPr>
        <w:pStyle w:val="Style10"/>
        <w:keepNext/>
        <w:keepLines/>
        <w:framePr w:w="3374" w:h="4344" w:wrap="none" w:hAnchor="page" w:x="4430" w:y="1"/>
        <w:widowControl w:val="0"/>
        <w:shd w:val="clear" w:color="auto" w:fill="auto"/>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Оператор электронной площадки:</w:t>
      </w:r>
      <w:bookmarkEnd w:id="2"/>
    </w:p>
    <w:p>
      <w:pPr>
        <w:pStyle w:val="Style12"/>
        <w:keepNext w:val="0"/>
        <w:keepLines w:val="0"/>
        <w:framePr w:w="3374" w:h="4344" w:wrap="none" w:hAnchor="page" w:x="4430"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"РТС-тендер"</w:t>
      </w:r>
    </w:p>
    <w:p>
      <w:pPr>
        <w:pStyle w:val="Style12"/>
        <w:keepNext w:val="0"/>
        <w:keepLines w:val="0"/>
        <w:framePr w:w="3374" w:h="4344" w:wrap="none" w:hAnchor="page" w:x="4430"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121151, г. Москва, набережная Тараса</w:t>
      </w:r>
    </w:p>
    <w:p>
      <w:pPr>
        <w:pStyle w:val="Style12"/>
        <w:keepNext w:val="0"/>
        <w:keepLines w:val="0"/>
        <w:framePr w:w="3374" w:h="4344" w:wrap="none" w:hAnchor="page" w:x="4430" w:y="1"/>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ru-RU" w:eastAsia="ru-RU" w:bidi="ru-RU"/>
        </w:rPr>
        <w:t>Шевченко, Д.23А</w:t>
      </w:r>
    </w:p>
    <w:p>
      <w:pPr>
        <w:pStyle w:val="Style10"/>
        <w:keepNext/>
        <w:keepLines/>
        <w:framePr w:w="3374" w:h="4344" w:wrap="none" w:hAnchor="page" w:x="4430" w:y="1"/>
        <w:widowControl w:val="0"/>
        <w:shd w:val="clear" w:color="auto" w:fill="auto"/>
        <w:bidi w:val="0"/>
        <w:spacing w:before="0" w:after="0" w:line="240" w:lineRule="auto"/>
        <w:ind w:left="0" w:right="0" w:firstLine="0"/>
        <w:jc w:val="left"/>
      </w:pPr>
      <w:bookmarkStart w:id="4" w:name="bookmark4"/>
      <w:r>
        <w:rPr>
          <w:color w:val="000000"/>
          <w:spacing w:val="0"/>
          <w:w w:val="100"/>
          <w:position w:val="0"/>
          <w:shd w:val="clear" w:color="auto" w:fill="auto"/>
          <w:lang w:val="ru-RU" w:eastAsia="ru-RU" w:bidi="ru-RU"/>
        </w:rPr>
        <w:t>Заявитель:</w:t>
      </w:r>
      <w:bookmarkEnd w:id="4"/>
    </w:p>
    <w:p>
      <w:pPr>
        <w:pStyle w:val="Style12"/>
        <w:keepNext w:val="0"/>
        <w:keepLines w:val="0"/>
        <w:framePr w:w="3374" w:h="4344" w:wrap="none" w:hAnchor="page" w:x="4430" w:y="1"/>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ru-RU" w:eastAsia="ru-RU" w:bidi="ru-RU"/>
        </w:rPr>
        <w:t>ИП Тожибаев Захиджон Пазилжонович 620075, Свердловская область, г. Екатеринбург, ул. Малышева, 77,40</w:t>
      </w:r>
    </w:p>
    <w:p>
      <w:pPr>
        <w:pStyle w:val="Style10"/>
        <w:keepNext/>
        <w:keepLines/>
        <w:framePr w:w="3374" w:h="4344" w:wrap="none" w:hAnchor="page" w:x="4430" w:y="1"/>
        <w:widowControl w:val="0"/>
        <w:shd w:val="clear" w:color="auto" w:fill="auto"/>
        <w:bidi w:val="0"/>
        <w:spacing w:before="0" w:after="0" w:line="240" w:lineRule="auto"/>
        <w:ind w:left="0" w:right="0" w:firstLine="0"/>
        <w:jc w:val="left"/>
      </w:pPr>
      <w:bookmarkStart w:id="6" w:name="bookmark6"/>
      <w:r>
        <w:rPr>
          <w:color w:val="000000"/>
          <w:spacing w:val="0"/>
          <w:w w:val="100"/>
          <w:position w:val="0"/>
          <w:shd w:val="clear" w:color="auto" w:fill="auto"/>
          <w:lang w:val="ru-RU" w:eastAsia="ru-RU" w:bidi="ru-RU"/>
        </w:rPr>
        <w:t>Заказчик:</w:t>
      </w:r>
      <w:bookmarkEnd w:id="6"/>
    </w:p>
    <w:p>
      <w:pPr>
        <w:pStyle w:val="Style12"/>
        <w:keepNext w:val="0"/>
        <w:keepLines w:val="0"/>
        <w:framePr w:w="3374" w:h="4344" w:wrap="none" w:hAnchor="page" w:x="4430"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Муниципальное казенное учреждение «Управление капитального строительства города Когалыма»</w:t>
      </w:r>
    </w:p>
    <w:p>
      <w:pPr>
        <w:pStyle w:val="Style12"/>
        <w:keepNext w:val="0"/>
        <w:keepLines w:val="0"/>
        <w:framePr w:w="3374" w:h="4344" w:wrap="none" w:hAnchor="page" w:x="4430"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628486, ХМАО-Югра, г. Когалым, ул. Дружбы</w:t>
      </w:r>
    </w:p>
    <w:p>
      <w:pPr>
        <w:pStyle w:val="Style12"/>
        <w:keepNext w:val="0"/>
        <w:keepLines w:val="0"/>
        <w:framePr w:w="3374" w:h="4344" w:wrap="none" w:hAnchor="page" w:x="4430" w:y="1"/>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ru-RU" w:eastAsia="ru-RU" w:bidi="ru-RU"/>
        </w:rPr>
        <w:t>Народов, д. 7</w:t>
      </w:r>
    </w:p>
    <w:p>
      <w:pPr>
        <w:pStyle w:val="Style10"/>
        <w:keepNext/>
        <w:keepLines/>
        <w:framePr w:w="3374" w:h="4344" w:wrap="none" w:hAnchor="page" w:x="4430" w:y="1"/>
        <w:widowControl w:val="0"/>
        <w:shd w:val="clear" w:color="auto" w:fill="auto"/>
        <w:bidi w:val="0"/>
        <w:spacing w:before="0" w:after="0" w:line="240" w:lineRule="auto"/>
        <w:ind w:left="0" w:right="0" w:firstLine="0"/>
        <w:jc w:val="left"/>
      </w:pPr>
      <w:bookmarkStart w:id="8" w:name="bookmark8"/>
      <w:r>
        <w:rPr>
          <w:color w:val="000000"/>
          <w:spacing w:val="0"/>
          <w:w w:val="100"/>
          <w:position w:val="0"/>
          <w:shd w:val="clear" w:color="auto" w:fill="auto"/>
          <w:lang w:val="ru-RU" w:eastAsia="ru-RU" w:bidi="ru-RU"/>
        </w:rPr>
        <w:t>Уполномоченное лицо:</w:t>
      </w:r>
      <w:bookmarkEnd w:id="8"/>
    </w:p>
    <w:p>
      <w:pPr>
        <w:pStyle w:val="Style12"/>
        <w:keepNext w:val="0"/>
        <w:keepLines w:val="0"/>
        <w:framePr w:w="3374" w:h="4344" w:wrap="none" w:hAnchor="page" w:x="4430" w:y="1"/>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ru-RU" w:eastAsia="ru-RU" w:bidi="ru-RU"/>
        </w:rPr>
        <w:t>Муниципальное казенное учреждение администрации города Когалыма 628486, Ханты-Мансийский Автономный округ — Югра, г. Когалым, ул. Дружбы Народов, д. 7</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83" w:line="1" w:lineRule="exact"/>
      </w:pPr>
    </w:p>
    <w:p>
      <w:pPr>
        <w:widowControl w:val="0"/>
        <w:spacing w:line="1" w:lineRule="exact"/>
        <w:sectPr>
          <w:footerReference w:type="default" r:id="rId5"/>
          <w:footnotePr>
            <w:pos w:val="pageBottom"/>
            <w:numFmt w:val="decimal"/>
            <w:numRestart w:val="continuous"/>
          </w:footnotePr>
          <w:pgSz w:w="8400" w:h="11900"/>
          <w:pgMar w:top="1163" w:right="525" w:bottom="884" w:left="853" w:header="735" w:footer="3" w:gutter="0"/>
          <w:pgNumType w:start="1"/>
          <w:cols w:space="720"/>
          <w:noEndnote/>
          <w:rtlGutter w:val="0"/>
          <w:docGrid w:linePitch="360"/>
        </w:sectPr>
      </w:pPr>
    </w:p>
    <w:p>
      <w:pPr>
        <w:widowControl w:val="0"/>
        <w:spacing w:line="240" w:lineRule="exact"/>
        <w:rPr>
          <w:sz w:val="19"/>
          <w:szCs w:val="19"/>
        </w:rPr>
      </w:pPr>
    </w:p>
    <w:p>
      <w:pPr>
        <w:widowControl w:val="0"/>
        <w:spacing w:before="19" w:after="19" w:line="240" w:lineRule="exact"/>
        <w:rPr>
          <w:sz w:val="19"/>
          <w:szCs w:val="19"/>
        </w:rPr>
      </w:pPr>
    </w:p>
    <w:p>
      <w:pPr>
        <w:widowControl w:val="0"/>
        <w:spacing w:line="1" w:lineRule="exact"/>
        <w:sectPr>
          <w:footnotePr>
            <w:pos w:val="pageBottom"/>
            <w:numFmt w:val="decimal"/>
            <w:numRestart w:val="continuous"/>
          </w:footnotePr>
          <w:type w:val="continuous"/>
          <w:pgSz w:w="8400" w:h="11900"/>
          <w:pgMar w:top="1030" w:right="0" w:bottom="897" w:left="0" w:header="0" w:footer="3" w:gutter="0"/>
          <w:cols w:space="720"/>
          <w:noEndnote/>
          <w:rtlGutter w:val="0"/>
          <w:docGrid w:linePitch="360"/>
        </w:sectPr>
      </w:pPr>
    </w:p>
    <w:p>
      <w:pPr>
        <w:pStyle w:val="Style10"/>
        <w:keepNext/>
        <w:keepLines/>
        <w:widowControl w:val="0"/>
        <w:shd w:val="clear" w:color="auto" w:fill="auto"/>
        <w:bidi w:val="0"/>
        <w:spacing w:before="0" w:after="180" w:line="240" w:lineRule="auto"/>
        <w:ind w:left="0" w:right="0" w:firstLine="0"/>
        <w:jc w:val="center"/>
      </w:pPr>
      <w:bookmarkStart w:id="10" w:name="bookmark10"/>
      <w:r>
        <w:rPr>
          <w:color w:val="000000"/>
          <w:spacing w:val="0"/>
          <w:w w:val="100"/>
          <w:position w:val="0"/>
          <w:shd w:val="clear" w:color="auto" w:fill="auto"/>
          <w:lang w:val="ru-RU" w:eastAsia="ru-RU" w:bidi="ru-RU"/>
        </w:rPr>
        <w:t>РЕШЕНИЕ № 086/06/31-709/2023</w:t>
      </w:r>
      <w:bookmarkEnd w:id="10"/>
    </w:p>
    <w:p>
      <w:pPr>
        <w:pStyle w:val="Style12"/>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3912870</wp:posOffset>
                </wp:positionH>
                <wp:positionV relativeFrom="paragraph">
                  <wp:posOffset>12700</wp:posOffset>
                </wp:positionV>
                <wp:extent cx="899160" cy="128270"/>
                <wp:wrapSquare wrapText="left"/>
                <wp:docPr id="3" name="Shape 3"/>
                <a:graphic xmlns:a="http://schemas.openxmlformats.org/drawingml/2006/main">
                  <a:graphicData uri="http://schemas.microsoft.com/office/word/2010/wordprocessingShape">
                    <wps:wsp>
                      <wps:cNvSpPr txBox="1"/>
                      <wps:spPr>
                        <a:xfrm>
                          <a:ext cx="899160" cy="1282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Ханты-Мансийск</w:t>
                            </w:r>
                          </w:p>
                        </w:txbxContent>
                      </wps:txbx>
                      <wps:bodyPr wrap="none" lIns="0" tIns="0" rIns="0" bIns="0">
                        <a:noAutoFit/>
                      </wps:bodyPr>
                    </wps:wsp>
                  </a:graphicData>
                </a:graphic>
              </wp:anchor>
            </w:drawing>
          </mc:Choice>
          <mc:Fallback>
            <w:pict>
              <v:shape id="_x0000_s1029" type="#_x0000_t202" style="position:absolute;margin-left:308.10000000000002pt;margin-top:1.pt;width:70.799999999999997pt;height:10.1pt;z-index:-125829375;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Ханты-Мансийск</w:t>
                      </w:r>
                    </w:p>
                  </w:txbxContent>
                </v:textbox>
                <w10:wrap type="square" side="left" anchorx="page"/>
              </v:shape>
            </w:pict>
          </mc:Fallback>
        </mc:AlternateContent>
      </w:r>
      <w:r>
        <w:rPr>
          <w:color w:val="000000"/>
          <w:spacing w:val="0"/>
          <w:w w:val="100"/>
          <w:position w:val="0"/>
          <w:shd w:val="clear" w:color="auto" w:fill="auto"/>
          <w:lang w:val="ru-RU" w:eastAsia="ru-RU" w:bidi="ru-RU"/>
        </w:rPr>
        <w:t>Резолютивная часть объявлена 03.05.2023</w:t>
      </w:r>
    </w:p>
    <w:p>
      <w:pPr>
        <w:pStyle w:val="Style12"/>
        <w:keepNext w:val="0"/>
        <w:keepLines w:val="0"/>
        <w:widowControl w:val="0"/>
        <w:shd w:val="clear" w:color="auto" w:fill="auto"/>
        <w:bidi w:val="0"/>
        <w:spacing w:before="0" w:after="180" w:line="240" w:lineRule="auto"/>
        <w:ind w:left="0" w:right="0" w:firstLine="0"/>
        <w:jc w:val="both"/>
      </w:pPr>
      <w:r>
        <w:rPr>
          <w:color w:val="000000"/>
          <w:spacing w:val="0"/>
          <w:w w:val="100"/>
          <w:position w:val="0"/>
          <w:shd w:val="clear" w:color="auto" w:fill="auto"/>
          <w:lang w:val="ru-RU" w:eastAsia="ru-RU" w:bidi="ru-RU"/>
        </w:rPr>
        <w:t>Изготовлено в полном объеме 10.05.2023</w:t>
      </w:r>
    </w:p>
    <w:p>
      <w:pPr>
        <w:pStyle w:val="Style12"/>
        <w:keepNext w:val="0"/>
        <w:keepLines w:val="0"/>
        <w:widowControl w:val="0"/>
        <w:shd w:val="clear" w:color="auto" w:fill="auto"/>
        <w:bidi w:val="0"/>
        <w:spacing w:before="0" w:after="180" w:line="240" w:lineRule="auto"/>
        <w:ind w:left="0" w:right="0" w:firstLine="46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2"/>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Председатель комиссии:</w:t>
      </w:r>
    </w:p>
    <w:p>
      <w:pPr>
        <w:pStyle w:val="Style12"/>
        <w:keepNext w:val="0"/>
        <w:keepLines w:val="0"/>
        <w:widowControl w:val="0"/>
        <w:numPr>
          <w:ilvl w:val="0"/>
          <w:numId w:val="1"/>
        </w:numPr>
        <w:shd w:val="clear" w:color="auto" w:fill="auto"/>
        <w:tabs>
          <w:tab w:pos="683" w:val="left"/>
        </w:tabs>
        <w:bidi w:val="0"/>
        <w:spacing w:before="0" w:after="0" w:line="240" w:lineRule="auto"/>
        <w:ind w:left="0" w:right="0" w:firstLine="460"/>
        <w:jc w:val="both"/>
      </w:pPr>
      <w:r>
        <w:rPr>
          <w:color w:val="000000"/>
          <w:spacing w:val="0"/>
          <w:w w:val="100"/>
          <w:position w:val="0"/>
          <w:shd w:val="clear" w:color="auto" w:fill="auto"/>
          <w:lang w:val="ru-RU" w:eastAsia="ru-RU" w:bidi="ru-RU"/>
        </w:rPr>
        <w:t>Андрейцева Е. А. - Врио заместителя руководителя Управления;</w:t>
      </w:r>
    </w:p>
    <w:p>
      <w:pPr>
        <w:pStyle w:val="Style12"/>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Членов комиссии:</w:t>
      </w:r>
    </w:p>
    <w:p>
      <w:pPr>
        <w:pStyle w:val="Style12"/>
        <w:keepNext w:val="0"/>
        <w:keepLines w:val="0"/>
        <w:widowControl w:val="0"/>
        <w:numPr>
          <w:ilvl w:val="0"/>
          <w:numId w:val="1"/>
        </w:numPr>
        <w:shd w:val="clear" w:color="auto" w:fill="auto"/>
        <w:tabs>
          <w:tab w:pos="683" w:val="left"/>
        </w:tabs>
        <w:bidi w:val="0"/>
        <w:spacing w:before="0" w:after="0" w:line="240" w:lineRule="auto"/>
        <w:ind w:left="0" w:right="0" w:firstLine="460"/>
        <w:jc w:val="both"/>
      </w:pPr>
      <w:r>
        <w:rPr>
          <w:color w:val="000000"/>
          <w:spacing w:val="0"/>
          <w:w w:val="100"/>
          <w:position w:val="0"/>
          <w:shd w:val="clear" w:color="auto" w:fill="auto"/>
          <w:lang w:val="ru-RU" w:eastAsia="ru-RU" w:bidi="ru-RU"/>
        </w:rPr>
        <w:t>Петухова Ю.А.- Эксперт отдела Управления;</w:t>
      </w:r>
    </w:p>
    <w:p>
      <w:pPr>
        <w:pStyle w:val="Style12"/>
        <w:keepNext w:val="0"/>
        <w:keepLines w:val="0"/>
        <w:widowControl w:val="0"/>
        <w:shd w:val="clear" w:color="auto" w:fill="auto"/>
        <w:bidi w:val="0"/>
        <w:spacing w:before="0" w:after="180" w:line="240" w:lineRule="auto"/>
        <w:ind w:left="0" w:right="0" w:firstLine="460"/>
        <w:jc w:val="both"/>
      </w:pPr>
      <w:r>
        <w:rPr>
          <w:color w:val="000000"/>
          <w:spacing w:val="0"/>
          <w:w w:val="100"/>
          <w:position w:val="0"/>
          <w:shd w:val="clear" w:color="auto" w:fill="auto"/>
          <w:lang w:val="ru-RU" w:eastAsia="ru-RU" w:bidi="ru-RU"/>
        </w:rPr>
        <w:t>- Мацола А.А,- Старший специалист 1 разряда отдела Управления,</w:t>
      </w:r>
    </w:p>
    <w:p>
      <w:pPr>
        <w:pStyle w:val="Style12"/>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от Заявителя - посредством видеоконференц-связи отсутствовали, уведомлены надлежащим образом;</w:t>
      </w:r>
    </w:p>
    <w:p>
      <w:pPr>
        <w:pStyle w:val="Style12"/>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от Заказчика - посредством видеоконференц-связи Семенцов О.П. по доверенности №6 от 27.04.2023г.;</w:t>
      </w:r>
    </w:p>
    <w:p>
      <w:pPr>
        <w:pStyle w:val="Style12"/>
        <w:keepNext w:val="0"/>
        <w:keepLines w:val="0"/>
        <w:widowControl w:val="0"/>
        <w:shd w:val="clear" w:color="auto" w:fill="auto"/>
        <w:bidi w:val="0"/>
        <w:spacing w:before="0" w:after="80" w:line="240" w:lineRule="auto"/>
        <w:ind w:left="0" w:right="0" w:firstLine="460"/>
        <w:jc w:val="both"/>
      </w:pPr>
      <w:r>
        <w:rPr>
          <w:color w:val="000000"/>
          <w:spacing w:val="0"/>
          <w:w w:val="100"/>
          <w:position w:val="0"/>
          <w:shd w:val="clear" w:color="auto" w:fill="auto"/>
          <w:lang w:val="ru-RU" w:eastAsia="ru-RU" w:bidi="ru-RU"/>
        </w:rPr>
        <w:t>от Уполномоченного органа - посредством видеоконференц-связи Семирунчик А.В. по доверенности №04-36 от 03.06.2022г.,</w:t>
      </w:r>
    </w:p>
    <w:p>
      <w:pPr>
        <w:pStyle w:val="Style12"/>
        <w:keepNext w:val="0"/>
        <w:keepLines w:val="0"/>
        <w:widowControl w:val="0"/>
        <w:shd w:val="clear" w:color="auto" w:fill="auto"/>
        <w:bidi w:val="0"/>
        <w:spacing w:before="0" w:after="180" w:line="240" w:lineRule="auto"/>
        <w:ind w:left="0" w:right="0" w:firstLine="500"/>
        <w:jc w:val="both"/>
      </w:pPr>
      <w:r>
        <w:rPr>
          <w:color w:val="000000"/>
          <w:spacing w:val="0"/>
          <w:w w:val="100"/>
          <w:position w:val="0"/>
          <w:shd w:val="clear" w:color="auto" w:fill="auto"/>
          <w:lang w:val="ru-RU" w:eastAsia="ru-RU" w:bidi="ru-RU"/>
        </w:rPr>
        <w:t>рассмотрев жалобу ИП Тожибаева Захиджона Пазилжоновича (ИНН: 380200093971; ОГРН: 323665800003520) от 27.04.2023 №4277/23, на действия Заказчика - Муниципальное казенное учреждение «Управление капитального строительства города Когалыма», Уполномоченного органа - Муниципальное казенное учреждение Администрация города Когалыма при проведении элек</w:t>
        <w:softHyphen/>
        <w:t>тронного аукциона, предметом которого является Выполнение работ по строительству сетей на</w:t>
        <w:softHyphen/>
        <w:t>ружного освещения участков автомобильных дорог по улице Лангепасская в городе Когалыме (из</w:t>
        <w:softHyphen/>
        <w:t>вещение № 0187300013723000068) и в результате осуществления внеплановой проверки в соответ</w:t>
        <w:softHyphen/>
        <w:t>ствии с пунктом 1 части 15 статьи 99 Федерального закона от 05.04.2013 И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0"/>
        <w:keepNext/>
        <w:keepLines/>
        <w:widowControl w:val="0"/>
        <w:shd w:val="clear" w:color="auto" w:fill="auto"/>
        <w:bidi w:val="0"/>
        <w:spacing w:before="0" w:after="180" w:line="240" w:lineRule="auto"/>
        <w:ind w:left="0" w:right="0" w:firstLine="0"/>
        <w:jc w:val="center"/>
      </w:pPr>
      <w:bookmarkStart w:id="12" w:name="bookmark12"/>
      <w:r>
        <w:rPr>
          <w:color w:val="000000"/>
          <w:spacing w:val="0"/>
          <w:w w:val="100"/>
          <w:position w:val="0"/>
          <w:shd w:val="clear" w:color="auto" w:fill="auto"/>
          <w:lang w:val="ru-RU" w:eastAsia="ru-RU" w:bidi="ru-RU"/>
        </w:rPr>
        <w:t>УСТАНОВИЛА:</w:t>
      </w:r>
      <w:bookmarkEnd w:id="12"/>
    </w:p>
    <w:p>
      <w:pPr>
        <w:pStyle w:val="Style1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В Управление Федеральной антимонопольной службы по Ханты-Мансийскому автономному округу - Югре поступила жалоба ИП Тожибаева Захиджона Пазилжоновича (ИНН: 380200093971; ОГРН: 323665800003520) от 27.04.2023 №4277/23, на действия Заказчика - Муниципальное казенное учреждение «Управление капитального строительства города Когалыма», Уполномоченного органа - Муниципальное казенное учреждение Администрация города Когалыма при проведении электронного аукциона, предметом которого является оВыполнение работ по строительству сетей наружного освещения участков автомобильных дорог по улице Лангепасская в городе Когалыме (извещение № 0187300013723000068).</w:t>
      </w:r>
    </w:p>
    <w:p>
      <w:pPr>
        <w:pStyle w:val="Style1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В доводе жалобы Заявитель указал следующее:</w:t>
      </w:r>
    </w:p>
    <w:p>
      <w:pPr>
        <w:pStyle w:val="Style12"/>
        <w:keepNext w:val="0"/>
        <w:keepLines w:val="0"/>
        <w:widowControl w:val="0"/>
        <w:shd w:val="clear" w:color="auto" w:fill="auto"/>
        <w:bidi w:val="0"/>
        <w:spacing w:before="0" w:after="180" w:line="240" w:lineRule="auto"/>
        <w:ind w:left="0" w:right="0" w:firstLine="500"/>
        <w:jc w:val="both"/>
      </w:pPr>
      <w:r>
        <w:rPr>
          <w:color w:val="000000"/>
          <w:spacing w:val="0"/>
          <w:w w:val="100"/>
          <w:position w:val="0"/>
          <w:shd w:val="clear" w:color="auto" w:fill="auto"/>
          <w:lang w:val="ru-RU" w:eastAsia="ru-RU" w:bidi="ru-RU"/>
        </w:rPr>
        <w:t>Заказчиком неправомерно установлены дополнительные требования в соответствии с позицией 8 Постановления Правительства РФ от 29.12.2021 И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w:t>
      </w:r>
    </w:p>
    <w:p>
      <w:pPr>
        <w:pStyle w:val="Style10"/>
        <w:keepNext/>
        <w:keepLines/>
        <w:widowControl w:val="0"/>
        <w:shd w:val="clear" w:color="auto" w:fill="auto"/>
        <w:bidi w:val="0"/>
        <w:spacing w:before="0" w:after="0" w:line="240" w:lineRule="auto"/>
        <w:ind w:left="0" w:right="0" w:firstLine="500"/>
        <w:jc w:val="both"/>
      </w:pPr>
      <w:bookmarkStart w:id="14" w:name="bookmark14"/>
      <w:r>
        <w:rPr>
          <w:color w:val="000000"/>
          <w:spacing w:val="0"/>
          <w:w w:val="100"/>
          <w:position w:val="0"/>
          <w:shd w:val="clear" w:color="auto" w:fill="auto"/>
          <w:lang w:val="ru-RU" w:eastAsia="ru-RU" w:bidi="ru-RU"/>
        </w:rPr>
        <w:t>В ходе рассмотрения доводов сторон, материалов дела, Комиссией Управления установлено следующее.</w:t>
      </w:r>
      <w:bookmarkEnd w:id="14"/>
    </w:p>
    <w:p>
      <w:pPr>
        <w:pStyle w:val="Style1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Относительно довода жалобы Комиссия Управления поясняет следующее.</w:t>
      </w:r>
    </w:p>
    <w:p>
      <w:pPr>
        <w:pStyle w:val="Style1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Согласно части 2.1 статьи 31 Закона о контрактной системе установлено,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отдельных видов товаров, работ, услуг,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от 18 июля 2011 года М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p>
    <w:p>
      <w:pPr>
        <w:pStyle w:val="Style1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Подпунктом а пункта 3 Постановления Правительства РФ от 29.12.2021 И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w:t>
        <w:br w:type="page"/>
      </w:r>
      <w:r>
        <w:rPr>
          <w:color w:val="000000"/>
          <w:spacing w:val="0"/>
          <w:w w:val="100"/>
          <w:position w:val="0"/>
          <w:shd w:val="clear" w:color="auto" w:fill="auto"/>
          <w:lang w:val="ru-RU" w:eastAsia="ru-RU" w:bidi="ru-RU"/>
        </w:rPr>
        <w:t>признании утратившими силу некоторых актов и отдельных положений актов Правительства Российской Федерации" (далее - Постановление №2571) установлено, что положения настоящего постановления применяются при проведении конкурентных способов определения поставщиков (подрядчиков, исполнителей), при этом:</w:t>
      </w:r>
    </w:p>
    <w:p>
      <w:pPr>
        <w:pStyle w:val="Style12"/>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pPr>
        <w:pStyle w:val="Style12"/>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извещению Заказчиком установлены дополнительные требования к участникам закупки в соответствии с позицией 8 Постановления №2571.</w:t>
      </w:r>
    </w:p>
    <w:p>
      <w:pPr>
        <w:pStyle w:val="Style19"/>
        <w:keepNext w:val="0"/>
        <w:keepLines w:val="0"/>
        <w:widowControl w:val="0"/>
        <w:shd w:val="clear" w:color="auto" w:fill="auto"/>
        <w:bidi w:val="0"/>
        <w:spacing w:before="0" w:after="0" w:line="240" w:lineRule="auto"/>
        <w:ind w:left="600" w:right="0" w:firstLine="0"/>
        <w:jc w:val="left"/>
      </w:pPr>
      <w:r>
        <w:rPr>
          <w:color w:val="000000"/>
          <w:spacing w:val="0"/>
          <w:w w:val="100"/>
          <w:position w:val="0"/>
          <w:shd w:val="clear" w:color="auto" w:fill="auto"/>
          <w:lang w:val="ru-RU" w:eastAsia="ru-RU" w:bidi="ru-RU"/>
        </w:rPr>
        <w:t>Позицией 8 Постановления №2571 установлено:</w:t>
      </w:r>
    </w:p>
    <w:tbl>
      <w:tblPr>
        <w:tblOverlap w:val="never"/>
        <w:jc w:val="center"/>
        <w:tblLayout w:type="fixed"/>
      </w:tblPr>
      <w:tblGrid>
        <w:gridCol w:w="1445"/>
        <w:gridCol w:w="3082"/>
        <w:gridCol w:w="2630"/>
      </w:tblGrid>
      <w:tr>
        <w:trPr>
          <w:trHeight w:val="7714" w:hRule="exact"/>
        </w:trPr>
        <w:tc>
          <w:tcPr>
            <w:tcBorders>
              <w:top w:val="single" w:sz="4"/>
              <w:left w:val="single" w:sz="4"/>
              <w:bottom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Работы по строительству, реконструкции линейного объекта, за исключением предусмотренных позицией 17 настоящего приложения работ по строительству, реконструкции автомобильной дороги</w:t>
            </w:r>
          </w:p>
        </w:tc>
        <w:tc>
          <w:tcPr>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наличие у участника закупки следующего опыта выполнения работ:</w:t>
            </w:r>
          </w:p>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 опыт исполнения договора строительного подряда, предусматривающего выполнение работ по строительству, реконструкции линейного объекта, за исключением автомобильной дороги;</w:t>
            </w:r>
          </w:p>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 опыт выполнения участником закупки, являющимся застройщиком, работ по строительству, реконструкции линейного объекта, за исключением автомобильной дороги.</w:t>
            </w:r>
          </w:p>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Цена выполненных работ по договору, предусмотренному пунктом 1 настоящей графы настоящей позиции, цена выполненных работ, предусмотренных пунктом 2 настоящей графы настоящей позиции, должна составлять: не менее 50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не превышает 100 млн. рублей; не менее 40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100 млн. рублей, но не превышает 500 млн. рублей;</w:t>
            </w:r>
          </w:p>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не менее 30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w:t>
            </w:r>
          </w:p>
        </w:tc>
        <w:tc>
          <w:tcPr>
            <w:tcBorders>
              <w:top w:val="single" w:sz="4"/>
              <w:left w:val="single" w:sz="4"/>
              <w:bottom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 случае наличия опыта, предусмотренного пунктом 1 графы "Дополнительные требования к участникам закупки" настоящей позиции: 1) исполненный договор;</w:t>
            </w:r>
          </w:p>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 случае наличия опыта, предусмотренного пунктом 2 графы "Дополнительные требования к участникам закупки" настоящей позиции: 1) раздел 11 "Сметана строительство объектов капитального строительства" проектной документации;</w:t>
            </w:r>
          </w:p>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 разрешение на ввод объекта капитального строительства в эксплуатацию или решение о технической готовности</w:t>
            </w:r>
          </w:p>
        </w:tc>
      </w:tr>
    </w:tbl>
    <w:p>
      <w:pPr>
        <w:widowControl w:val="0"/>
        <w:spacing w:line="1" w:lineRule="exact"/>
      </w:pPr>
      <w:r>
        <w:br w:type="page"/>
      </w:r>
    </w:p>
    <w:tbl>
      <w:tblPr>
        <w:tblOverlap w:val="never"/>
        <w:jc w:val="center"/>
        <w:tblLayout w:type="fixed"/>
      </w:tblPr>
      <w:tblGrid>
        <w:gridCol w:w="1435"/>
        <w:gridCol w:w="3091"/>
        <w:gridCol w:w="2592"/>
      </w:tblGrid>
      <w:tr>
        <w:trPr>
          <w:trHeight w:val="926"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составляет или превышает 500 млн. рублей</w:t>
            </w:r>
          </w:p>
        </w:tc>
        <w:tc>
          <w:tcPr>
            <w:tcBorders>
              <w:top w:val="single" w:sz="4"/>
              <w:left w:val="single" w:sz="4"/>
              <w:bottom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линейного объекта инфраструктуры к временной эксплуатации</w:t>
            </w:r>
          </w:p>
        </w:tc>
      </w:tr>
    </w:tbl>
    <w:p>
      <w:pPr>
        <w:widowControl w:val="0"/>
        <w:spacing w:after="179" w:line="1" w:lineRule="exact"/>
      </w:pPr>
    </w:p>
    <w:p>
      <w:pPr>
        <w:pStyle w:val="Style12"/>
        <w:keepNext w:val="0"/>
        <w:keepLines w:val="0"/>
        <w:widowControl w:val="0"/>
        <w:shd w:val="clear" w:color="auto" w:fill="auto"/>
        <w:bidi w:val="0"/>
        <w:spacing w:before="0" w:after="0" w:line="240" w:lineRule="auto"/>
        <w:ind w:left="140" w:right="0" w:firstLine="480"/>
        <w:jc w:val="both"/>
      </w:pPr>
      <w:r>
        <w:rPr>
          <w:color w:val="000000"/>
          <w:spacing w:val="0"/>
          <w:w w:val="100"/>
          <w:position w:val="0"/>
          <w:shd w:val="clear" w:color="auto" w:fill="auto"/>
          <w:lang w:val="ru-RU" w:eastAsia="ru-RU" w:bidi="ru-RU"/>
        </w:rPr>
        <w:t>Заявитель указывает, что Заказчик неправомерно установил дополнительные требования к участникам закупки в соответствии с позицией 8 Постановления №2571.</w:t>
      </w:r>
    </w:p>
    <w:p>
      <w:pPr>
        <w:pStyle w:val="Style12"/>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Заявитель считает, что Заказчику необходимо установить дополнительные требования к</w:t>
      </w:r>
    </w:p>
    <w:p>
      <w:pPr>
        <w:pStyle w:val="Style19"/>
        <w:keepNext w:val="0"/>
        <w:keepLines w:val="0"/>
        <w:widowControl w:val="0"/>
        <w:shd w:val="clear" w:color="auto" w:fill="auto"/>
        <w:bidi w:val="0"/>
        <w:spacing w:before="0" w:after="0" w:line="240" w:lineRule="auto"/>
        <w:ind w:left="0" w:right="0" w:firstLine="0"/>
        <w:jc w:val="both"/>
      </w:pPr>
      <w:r>
        <w:rPr>
          <w:color w:val="000000"/>
          <w:spacing w:val="0"/>
          <w:w w:val="100"/>
          <w:position w:val="0"/>
          <w:u w:val="none"/>
          <w:shd w:val="clear" w:color="auto" w:fill="auto"/>
          <w:lang w:val="ru-RU" w:eastAsia="ru-RU" w:bidi="ru-RU"/>
        </w:rPr>
        <w:t xml:space="preserve">участникам закупки в соответствии с позицией 17 Постановления №2571. </w:t>
      </w:r>
      <w:r>
        <w:rPr>
          <w:color w:val="000000"/>
          <w:spacing w:val="0"/>
          <w:w w:val="100"/>
          <w:position w:val="0"/>
          <w:shd w:val="clear" w:color="auto" w:fill="auto"/>
          <w:lang w:val="ru-RU" w:eastAsia="ru-RU" w:bidi="ru-RU"/>
        </w:rPr>
        <w:t>Позицией 17 Постановления №2571 установлено:</w:t>
      </w:r>
    </w:p>
    <w:tbl>
      <w:tblPr>
        <w:tblOverlap w:val="never"/>
        <w:jc w:val="center"/>
        <w:tblLayout w:type="fixed"/>
      </w:tblPr>
      <w:tblGrid>
        <w:gridCol w:w="2395"/>
        <w:gridCol w:w="2376"/>
        <w:gridCol w:w="2400"/>
      </w:tblGrid>
      <w:tr>
        <w:trPr>
          <w:trHeight w:val="7661" w:hRule="exact"/>
        </w:trPr>
        <w:tc>
          <w:tcPr>
            <w:tcBorders>
              <w:top w:val="single" w:sz="4"/>
              <w:left w:val="single" w:sz="4"/>
              <w:bottom w:val="single" w:sz="4"/>
            </w:tcBorders>
            <w:shd w:val="clear" w:color="auto" w:fill="auto"/>
            <w:vAlign w:val="top"/>
          </w:tcPr>
          <w:p>
            <w:pPr>
              <w:pStyle w:val="Style21"/>
              <w:keepNext w:val="0"/>
              <w:keepLines w:val="0"/>
              <w:widowControl w:val="0"/>
              <w:shd w:val="clear" w:color="auto" w:fill="auto"/>
              <w:bidi w:val="0"/>
              <w:spacing w:before="80" w:after="0" w:line="240" w:lineRule="auto"/>
              <w:ind w:left="0" w:right="0" w:firstLine="0"/>
              <w:jc w:val="left"/>
            </w:pPr>
            <w:r>
              <w:rPr>
                <w:color w:val="000000"/>
                <w:spacing w:val="0"/>
                <w:w w:val="100"/>
                <w:position w:val="0"/>
                <w:shd w:val="clear" w:color="auto" w:fill="auto"/>
                <w:lang w:val="ru-RU" w:eastAsia="ru-RU" w:bidi="ru-RU"/>
              </w:rPr>
              <w:t>Работы по строительству, реконструкции, капитальному ремонту автомобильной дороги</w:t>
            </w:r>
          </w:p>
        </w:tc>
        <w:tc>
          <w:tcPr>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наличие у участника закупки следующего опыта выполнения работ:</w:t>
            </w:r>
          </w:p>
          <w:p>
            <w:pPr>
              <w:pStyle w:val="Style21"/>
              <w:keepNext w:val="0"/>
              <w:keepLines w:val="0"/>
              <w:widowControl w:val="0"/>
              <w:numPr>
                <w:ilvl w:val="0"/>
                <w:numId w:val="3"/>
              </w:numPr>
              <w:shd w:val="clear" w:color="auto" w:fill="auto"/>
              <w:tabs>
                <w:tab w:pos="178" w:val="left"/>
              </w:tabs>
              <w:bidi w:val="0"/>
              <w:spacing w:before="0" w:after="0" w:line="240" w:lineRule="auto"/>
              <w:ind w:left="0" w:right="0" w:firstLine="0"/>
              <w:jc w:val="left"/>
            </w:pPr>
            <w:r>
              <w:rPr>
                <w:color w:val="000000"/>
                <w:spacing w:val="0"/>
                <w:w w:val="100"/>
                <w:position w:val="0"/>
                <w:shd w:val="clear" w:color="auto" w:fill="auto"/>
                <w:lang w:val="ru-RU" w:eastAsia="ru-RU" w:bidi="ru-RU"/>
              </w:rPr>
              <w:t>опыт исполнения договора строительного подряда, предусматривающего выполнение работ по строительству, реконструкции автомобильной дороги;</w:t>
            </w:r>
          </w:p>
          <w:p>
            <w:pPr>
              <w:pStyle w:val="Style21"/>
              <w:keepNext w:val="0"/>
              <w:keepLines w:val="0"/>
              <w:widowControl w:val="0"/>
              <w:numPr>
                <w:ilvl w:val="0"/>
                <w:numId w:val="3"/>
              </w:numPr>
              <w:shd w:val="clear" w:color="auto" w:fill="auto"/>
              <w:tabs>
                <w:tab w:pos="178" w:val="left"/>
              </w:tabs>
              <w:bidi w:val="0"/>
              <w:spacing w:before="0" w:after="0" w:line="240" w:lineRule="auto"/>
              <w:ind w:left="0" w:right="0" w:firstLine="0"/>
              <w:jc w:val="left"/>
            </w:pPr>
            <w:r>
              <w:rPr>
                <w:color w:val="000000"/>
                <w:spacing w:val="0"/>
                <w:w w:val="100"/>
                <w:position w:val="0"/>
                <w:shd w:val="clear" w:color="auto" w:fill="auto"/>
                <w:lang w:val="ru-RU" w:eastAsia="ru-RU" w:bidi="ru-RU"/>
              </w:rPr>
              <w:t>опыт исполнения договора, предусматривающего выполнение работ по капитальному ремонту автомобильной дороги;</w:t>
            </w:r>
          </w:p>
          <w:p>
            <w:pPr>
              <w:pStyle w:val="Style21"/>
              <w:keepNext w:val="0"/>
              <w:keepLines w:val="0"/>
              <w:widowControl w:val="0"/>
              <w:numPr>
                <w:ilvl w:val="0"/>
                <w:numId w:val="3"/>
              </w:numPr>
              <w:shd w:val="clear" w:color="auto" w:fill="auto"/>
              <w:tabs>
                <w:tab w:pos="178" w:val="left"/>
              </w:tabs>
              <w:bidi w:val="0"/>
              <w:spacing w:before="0" w:after="0" w:line="240" w:lineRule="auto"/>
              <w:ind w:left="0" w:right="0" w:firstLine="0"/>
              <w:jc w:val="left"/>
            </w:pPr>
            <w:r>
              <w:rPr>
                <w:color w:val="000000"/>
                <w:spacing w:val="0"/>
                <w:w w:val="100"/>
                <w:position w:val="0"/>
                <w:shd w:val="clear" w:color="auto" w:fill="auto"/>
                <w:lang w:val="ru-RU" w:eastAsia="ru-RU" w:bidi="ru-RU"/>
              </w:rPr>
              <w:t>опыт выполнения участником закупки, являющимся застройщиком, работ по строительству, реконструкции, капитальному ремонту автомобильной дороги.</w:t>
            </w:r>
          </w:p>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Цена выполненных работ по договорам, предусмотренным пунктами 1 и 2 настоящей графы настоящей позиции, цена выполненных работ, предусмотренных пунктом 3 настоящей графы настоящей позиции, должна составлять: не менее 50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не превышает 100 млн. рублей; не менее 40 процентов начальной (максимальной) цены контракта, заключаемого</w:t>
            </w:r>
          </w:p>
        </w:tc>
        <w:tc>
          <w:tcPr>
            <w:tcBorders>
              <w:top w:val="single" w:sz="4"/>
              <w:left w:val="single" w:sz="4"/>
              <w:bottom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 случае наличия опыта, предусмотренного пунктом 1 графы "Дополнительные требования к участникам закупки" настоящей позиции: 1) исполненный договор;</w:t>
            </w:r>
          </w:p>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 акт приемки объекта капитального строительства, а также акт (акты) выполненных работ, подтверждающий (подтверждающие) цену выполненных работ; если акт приемки объекта капитального строительства не содержит цену выполненных работ;</w:t>
            </w:r>
          </w:p>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 случае наличия опыта, предусмотренного пунктом 2 графы "Дополнительные требования к участникам закупки" настоящей позиции: 1) исполненный договор;</w:t>
            </w:r>
          </w:p>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 акт выполненных работ, подтверждающий цену выполненных работ.</w:t>
            </w:r>
          </w:p>
        </w:tc>
      </w:tr>
    </w:tbl>
    <w:p>
      <w:pPr>
        <w:widowControl w:val="0"/>
        <w:spacing w:line="1" w:lineRule="exact"/>
      </w:pPr>
    </w:p>
    <w:tbl>
      <w:tblPr>
        <w:tblOverlap w:val="never"/>
        <w:jc w:val="center"/>
        <w:tblLayout w:type="fixed"/>
      </w:tblPr>
      <w:tblGrid>
        <w:gridCol w:w="2366"/>
        <w:gridCol w:w="2362"/>
        <w:gridCol w:w="2395"/>
      </w:tblGrid>
      <w:tr>
        <w:trPr>
          <w:trHeight w:val="3504"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 результатам определения поставщика (подрядчика, исполнителя), если начальная (максимальная) цена контракта составляет или превышает 100 млн. рублей, но не превышает 500 млн. рублей;</w:t>
            </w:r>
          </w:p>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не менее 30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500 млн. рублей</w:t>
            </w:r>
          </w:p>
        </w:tc>
        <w:tc>
          <w:tcPr>
            <w:tcBorders>
              <w:top w:val="single" w:sz="4"/>
              <w:left w:val="single" w:sz="4"/>
              <w:bottom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 случае наличия опыта, предусмотренного пунктом 3 графы "Дополнительные требования к участникам закупки" настоящей позиции: 1) раздел 11 "Смета на строительство объектов капитального строительства" проектной документации;</w:t>
            </w:r>
          </w:p>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p>
        </w:tc>
      </w:tr>
    </w:tbl>
    <w:p>
      <w:pPr>
        <w:widowControl w:val="0"/>
        <w:spacing w:after="179" w:line="1" w:lineRule="exact"/>
      </w:pPr>
    </w:p>
    <w:p>
      <w:pPr>
        <w:pStyle w:val="Style12"/>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Техническому заданию, установленному Заказчиком, требуется выполнить работ по строительству сетей наружного освещения участков автомобильных дорог по улице Лангепасская в городе Когалыме.</w:t>
      </w:r>
    </w:p>
    <w:p>
      <w:pPr>
        <w:pStyle w:val="Style12"/>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НМЦК данной закупки составляет - 6 801 430,98 рублей.</w:t>
      </w:r>
    </w:p>
    <w:p>
      <w:pPr>
        <w:pStyle w:val="Style12"/>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пункту 10.1 статьи 1 Градостроительного кодекса Российской Федерации линейные объекты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pPr>
        <w:pStyle w:val="Style12"/>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Также в извещении установлен код ОКПД 2 — 42.22.12.112 «Линии электропередачи местные кабельные».</w:t>
      </w:r>
    </w:p>
    <w:p>
      <w:pPr>
        <w:pStyle w:val="Style12"/>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Исходя из того, что сети наружного освещения автомобильной дороги в рассматриваемом случае является линейным объектом, Комиссия Управления считает; что предполагаемые к выполнению работы необходимо относить к строительству линейного объекта с необходимостью установления дополнительных требований, связанных с работами по строительству, реконструкции линейного объекта.</w:t>
      </w:r>
    </w:p>
    <w:p>
      <w:pPr>
        <w:pStyle w:val="Style12"/>
        <w:keepNext w:val="0"/>
        <w:keepLines w:val="0"/>
        <w:widowControl w:val="0"/>
        <w:shd w:val="clear" w:color="auto" w:fill="auto"/>
        <w:bidi w:val="0"/>
        <w:spacing w:before="0" w:after="180" w:line="240" w:lineRule="auto"/>
        <w:ind w:left="0" w:right="0" w:firstLine="600"/>
        <w:jc w:val="both"/>
      </w:pPr>
      <w:r>
        <w:rPr>
          <w:color w:val="000000"/>
          <w:spacing w:val="0"/>
          <w:w w:val="100"/>
          <w:position w:val="0"/>
          <w:shd w:val="clear" w:color="auto" w:fill="auto"/>
          <w:lang w:val="ru-RU" w:eastAsia="ru-RU" w:bidi="ru-RU"/>
        </w:rPr>
        <w:t>Таким образом, довод заявителя жалобы является необоснованным.</w:t>
      </w:r>
    </w:p>
    <w:p>
      <w:pPr>
        <w:pStyle w:val="Style12"/>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Жалоба ИП Тожибаева Захиджона Пазилжоновича (ИНН: 380200093971; ОГРН: 323665800003520) от 27.04.2023 №4277/23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Рассмотрев материалы дела, изучив представленные документы представителей сторон, руководствуясь положениями статей 99,106 Закона о контрактной системе, Комиссия Управления</w:t>
      </w:r>
      <w:r>
        <w:br w:type="page"/>
      </w:r>
    </w:p>
    <w:p>
      <w:pPr>
        <w:pStyle w:val="Style10"/>
        <w:keepNext/>
        <w:keepLines/>
        <w:widowControl w:val="0"/>
        <w:shd w:val="clear" w:color="auto" w:fill="auto"/>
        <w:bidi w:val="0"/>
        <w:spacing w:before="0" w:after="180" w:line="240" w:lineRule="auto"/>
        <w:ind w:left="0" w:right="0" w:firstLine="0"/>
        <w:jc w:val="center"/>
      </w:pPr>
      <w:bookmarkStart w:id="16" w:name="bookmark16"/>
      <w:r>
        <w:rPr>
          <w:color w:val="000000"/>
          <w:spacing w:val="0"/>
          <w:w w:val="100"/>
          <w:position w:val="0"/>
          <w:shd w:val="clear" w:color="auto" w:fill="auto"/>
          <w:lang w:val="ru-RU" w:eastAsia="ru-RU" w:bidi="ru-RU"/>
        </w:rPr>
        <w:t>РЕШИЛА:</w:t>
      </w:r>
      <w:bookmarkEnd w:id="16"/>
    </w:p>
    <w:p>
      <w:pPr>
        <w:pStyle w:val="Style12"/>
        <w:keepNext w:val="0"/>
        <w:keepLines w:val="0"/>
        <w:widowControl w:val="0"/>
        <w:numPr>
          <w:ilvl w:val="0"/>
          <w:numId w:val="5"/>
        </w:numPr>
        <w:shd w:val="clear" w:color="auto" w:fill="auto"/>
        <w:tabs>
          <w:tab w:pos="740" w:val="left"/>
        </w:tabs>
        <w:bidi w:val="0"/>
        <w:spacing w:before="0" w:after="0" w:line="240" w:lineRule="auto"/>
        <w:ind w:left="0" w:right="0" w:firstLine="500"/>
        <w:jc w:val="both"/>
      </w:pPr>
      <w:r>
        <w:rPr>
          <w:color w:val="000000"/>
          <w:spacing w:val="0"/>
          <w:w w:val="100"/>
          <w:position w:val="0"/>
          <w:shd w:val="clear" w:color="auto" w:fill="auto"/>
          <w:lang w:val="ru-RU" w:eastAsia="ru-RU" w:bidi="ru-RU"/>
        </w:rPr>
        <w:t>Признать жалобу ИП Тожибаева Захиджона Пазилжоновича (ИНН: 380200093971; ОГРН: 323665800003520) от 27.04.2023 №4277/23, на действия Заказчика - Муниципальное казенное учреждение «Управление капитального строительства города Когалыма», Уполномоченного органа - Муниципальное казенное учреждение Администрация города Когалыма при проведении электронного аукциона, предметом которого является Выполнение работ по строительству сетей наружного освещения участков автомобильных дорог по улице Лангепасская в городе Когалыме (извещение № 0187300013723000068) необоснованной.</w:t>
      </w:r>
    </w:p>
    <w:p>
      <w:pPr>
        <w:pStyle w:val="Style12"/>
        <w:keepNext w:val="0"/>
        <w:keepLines w:val="0"/>
        <w:widowControl w:val="0"/>
        <w:numPr>
          <w:ilvl w:val="0"/>
          <w:numId w:val="5"/>
        </w:numPr>
        <w:shd w:val="clear" w:color="auto" w:fill="auto"/>
        <w:tabs>
          <w:tab w:pos="1153" w:val="left"/>
        </w:tabs>
        <w:bidi w:val="0"/>
        <w:spacing w:before="0" w:after="0" w:line="240" w:lineRule="auto"/>
        <w:ind w:left="0" w:right="0" w:firstLine="500"/>
        <w:jc w:val="both"/>
      </w:pPr>
      <w:r>
        <w:rPr>
          <w:color w:val="000000"/>
          <w:spacing w:val="0"/>
          <w:w w:val="100"/>
          <w:position w:val="0"/>
          <w:shd w:val="clear" w:color="auto" w:fill="auto"/>
          <w:lang w:val="ru-RU" w:eastAsia="ru-RU" w:bidi="ru-RU"/>
        </w:rPr>
        <w:t>Обязательное для исполнения предписание не выдавать.</w:t>
      </w:r>
    </w:p>
    <w:p>
      <w:pPr>
        <w:pStyle w:val="Style12"/>
        <w:keepNext w:val="0"/>
        <w:keepLines w:val="0"/>
        <w:widowControl w:val="0"/>
        <w:numPr>
          <w:ilvl w:val="0"/>
          <w:numId w:val="5"/>
        </w:numPr>
        <w:shd w:val="clear" w:color="auto" w:fill="auto"/>
        <w:tabs>
          <w:tab w:pos="735" w:val="left"/>
        </w:tabs>
        <w:bidi w:val="0"/>
        <w:spacing w:before="0" w:after="560" w:line="240" w:lineRule="auto"/>
        <w:ind w:left="0" w:right="0" w:firstLine="500"/>
        <w:jc w:val="both"/>
      </w:pPr>
      <w:r>
        <w:rPr>
          <w:color w:val="000000"/>
          <w:spacing w:val="0"/>
          <w:w w:val="100"/>
          <w:position w:val="0"/>
          <w:shd w:val="clear" w:color="auto" w:fill="auto"/>
          <w:lang w:val="ru-RU" w:eastAsia="ru-RU" w:bidi="ru-RU"/>
        </w:rPr>
        <w:t>Направить данное решение сторонам и опубликовать на официальном сайте единой ин</w:t>
        <w:softHyphen/>
        <w:t xml:space="preserve">формационной системы в сфере закупок </w:t>
      </w:r>
      <w:r>
        <w:rPr>
          <w:color w:val="000000"/>
          <w:spacing w:val="0"/>
          <w:w w:val="100"/>
          <w:position w:val="0"/>
          <w:u w:val="single"/>
          <w:shd w:val="clear" w:color="auto" w:fill="auto"/>
          <w:lang w:val="ru-RU" w:eastAsia="ru-RU" w:bidi="ru-RU"/>
        </w:rPr>
        <w:t>/хуулу.хакипкл.еоу.ги)</w:t>
      </w:r>
      <w:r>
        <w:rPr>
          <w:color w:val="000000"/>
          <w:spacing w:val="0"/>
          <w:w w:val="100"/>
          <w:position w:val="0"/>
          <w:shd w:val="clear" w:color="auto" w:fill="auto"/>
          <w:lang w:val="ru-RU" w:eastAsia="ru-RU" w:bidi="ru-RU"/>
        </w:rPr>
        <w:t>.</w:t>
      </w:r>
    </w:p>
    <w:p>
      <w:pPr>
        <w:pStyle w:val="Style12"/>
        <w:keepNext w:val="0"/>
        <w:keepLines w:val="0"/>
        <w:widowControl w:val="0"/>
        <w:shd w:val="clear" w:color="auto" w:fill="auto"/>
        <w:bidi w:val="0"/>
        <w:spacing w:before="0" w:after="360" w:line="240" w:lineRule="auto"/>
        <w:ind w:left="0" w:right="0" w:firstLine="0"/>
        <w:jc w:val="both"/>
      </w:pPr>
      <w:r>
        <w:rPr>
          <w:color w:val="000000"/>
          <w:spacing w:val="0"/>
          <w:w w:val="100"/>
          <w:position w:val="0"/>
          <w:shd w:val="clear" w:color="auto" w:fill="auto"/>
          <w:lang w:val="ru-RU" w:eastAsia="ru-RU" w:bidi="ru-RU"/>
        </w:rPr>
        <w:t xml:space="preserve">Председатель </w:t>
      </w:r>
      <w:r>
        <w:rPr>
          <w:smallCaps/>
          <w:color w:val="000000"/>
          <w:spacing w:val="0"/>
          <w:w w:val="100"/>
          <w:position w:val="0"/>
          <w:shd w:val="clear" w:color="auto" w:fill="auto"/>
          <w:lang w:val="ru-RU" w:eastAsia="ru-RU" w:bidi="ru-RU"/>
        </w:rPr>
        <w:t>Комиссии</w:t>
      </w:r>
    </w:p>
    <w:p>
      <w:pPr>
        <w:pStyle w:val="Style12"/>
        <w:keepNext w:val="0"/>
        <w:keepLines w:val="0"/>
        <w:widowControl w:val="0"/>
        <w:shd w:val="clear" w:color="auto" w:fill="auto"/>
        <w:bidi w:val="0"/>
        <w:spacing w:before="0" w:after="940" w:line="240" w:lineRule="auto"/>
        <w:ind w:left="0" w:right="0" w:firstLine="0"/>
        <w:jc w:val="both"/>
      </w:pPr>
      <w:r>
        <w:rPr>
          <w:color w:val="000000"/>
          <w:spacing w:val="0"/>
          <w:w w:val="100"/>
          <w:position w:val="0"/>
          <w:shd w:val="clear" w:color="auto" w:fill="auto"/>
          <w:lang w:val="ru-RU" w:eastAsia="ru-RU" w:bidi="ru-RU"/>
        </w:rPr>
        <w:t xml:space="preserve">Члены </w:t>
      </w:r>
      <w:r>
        <w:rPr>
          <w:smallCaps/>
          <w:color w:val="000000"/>
          <w:spacing w:val="0"/>
          <w:w w:val="100"/>
          <w:position w:val="0"/>
          <w:shd w:val="clear" w:color="auto" w:fill="auto"/>
          <w:lang w:val="ru-RU" w:eastAsia="ru-RU" w:bidi="ru-RU"/>
        </w:rPr>
        <w:t>Комиссии:</w:t>
      </w:r>
    </w:p>
    <w:p>
      <w:pPr>
        <w:pStyle w:val="Style26"/>
        <w:keepNext w:val="0"/>
        <w:keepLines w:val="0"/>
        <w:widowControl w:val="0"/>
        <w:shd w:val="clear" w:color="auto" w:fill="auto"/>
        <w:bidi w:val="0"/>
        <w:spacing w:before="0" w:after="0"/>
        <w:ind w:left="0" w:right="0"/>
        <w:jc w:val="both"/>
      </w:pPr>
      <w:r>
        <w:drawing>
          <wp:anchor distT="0" distB="0" distL="114300" distR="897890" simplePos="0" relativeHeight="125829380" behindDoc="0" locked="0" layoutInCell="1" allowOverlap="1">
            <wp:simplePos x="0" y="0"/>
            <wp:positionH relativeFrom="page">
              <wp:posOffset>3006725</wp:posOffset>
            </wp:positionH>
            <wp:positionV relativeFrom="margin">
              <wp:posOffset>1607820</wp:posOffset>
            </wp:positionV>
            <wp:extent cx="1090930" cy="1310640"/>
            <wp:wrapSquare wrapText="lef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6"/>
                    <a:stretch/>
                  </pic:blipFill>
                  <pic:spPr>
                    <a:xfrm>
                      <a:ext cx="1090930" cy="13106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4112895</wp:posOffset>
                </wp:positionH>
                <wp:positionV relativeFrom="margin">
                  <wp:posOffset>1870075</wp:posOffset>
                </wp:positionV>
                <wp:extent cx="765175" cy="835025"/>
                <wp:wrapNone/>
                <wp:docPr id="7" name="Shape 7"/>
                <a:graphic xmlns:a="http://schemas.openxmlformats.org/drawingml/2006/main">
                  <a:graphicData uri="http://schemas.microsoft.com/office/word/2010/wordprocessingShape">
                    <wps:wsp>
                      <wps:cNvSpPr txBox="1"/>
                      <wps:spPr>
                        <a:xfrm>
                          <a:ext cx="765175" cy="835025"/>
                        </a:xfrm>
                        <a:prstGeom prst="rect"/>
                        <a:noFill/>
                      </wps:spPr>
                      <wps:txbx>
                        <w:txbxContent>
                          <w:p>
                            <w:pPr>
                              <w:pStyle w:val="Style17"/>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Е.А.Андрейцева</w:t>
                            </w:r>
                          </w:p>
                          <w:p>
                            <w:pPr>
                              <w:pStyle w:val="Style17"/>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Ю.А. Петухова</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А.А. Мацола</w:t>
                            </w:r>
                          </w:p>
                        </w:txbxContent>
                      </wps:txbx>
                      <wps:bodyPr lIns="0" tIns="0" rIns="0" bIns="0">
                        <a:noAutoFit/>
                      </wps:bodyPr>
                    </wps:wsp>
                  </a:graphicData>
                </a:graphic>
              </wp:anchor>
            </w:drawing>
          </mc:Choice>
          <mc:Fallback>
            <w:pict>
              <v:shape id="_x0000_s1033" type="#_x0000_t202" style="position:absolute;margin-left:323.85000000000002pt;margin-top:147.25pt;width:60.25pt;height:65.75pt;z-index:251657729;mso-wrap-distance-left:0;mso-wrap-distance-right:0;mso-position-horizontal-relative:page;mso-position-vertical-relative:margin" filled="f" stroked="f">
                <v:textbox inset="0,0,0,0">
                  <w:txbxContent>
                    <w:p>
                      <w:pPr>
                        <w:pStyle w:val="Style17"/>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Е.А.Андрейцева</w:t>
                      </w:r>
                    </w:p>
                    <w:p>
                      <w:pPr>
                        <w:pStyle w:val="Style17"/>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Ю.А. Петухова</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А.А. Мацола</w:t>
                      </w:r>
                    </w:p>
                  </w:txbxContent>
                </v:textbox>
                <w10:wrap anchorx="page" anchory="margin"/>
              </v:shape>
            </w:pict>
          </mc:Fallback>
        </mc:AlternateContent>
      </w:r>
      <w:r>
        <w:rPr>
          <w:color w:val="000000"/>
          <w:spacing w:val="0"/>
          <w:w w:val="100"/>
          <w:position w:val="0"/>
          <w:shd w:val="clear" w:color="auto" w:fill="auto"/>
          <w:lang w:val="ru-RU" w:eastAsia="ru-RU" w:bidi="ru-RU"/>
        </w:rPr>
        <w:t>Решение, принятое по результатам рассмотрения жалобы по существу, может быть обжаловано в судебном порядке в течение трех месяцев с даты принятия.</w:t>
      </w:r>
    </w:p>
    <w:sectPr>
      <w:footnotePr>
        <w:pos w:val="pageBottom"/>
        <w:numFmt w:val="decimal"/>
        <w:numRestart w:val="continuous"/>
      </w:footnotePr>
      <w:pgSz w:w="8400" w:h="11900"/>
      <w:pgMar w:top="1030" w:right="559" w:bottom="897" w:left="660" w:header="602"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556895</wp:posOffset>
              </wp:positionH>
              <wp:positionV relativeFrom="page">
                <wp:posOffset>7053580</wp:posOffset>
              </wp:positionV>
              <wp:extent cx="445135" cy="76200"/>
              <wp:wrapNone/>
              <wp:docPr id="1" name="Shape 1"/>
              <a:graphic xmlns:a="http://schemas.openxmlformats.org/drawingml/2006/main">
                <a:graphicData uri="http://schemas.microsoft.com/office/word/2010/wordprocessingShape">
                  <wps:wsp>
                    <wps:cNvSpPr txBox="1"/>
                    <wps:spPr>
                      <a:xfrm>
                        <a:ext cx="445135" cy="7620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2023-3388</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43.850000000000001pt;margin-top:555.39999999999998pt;width:35.050000000000004pt;height:6.pt;z-index:-188744063;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2023-3388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val="0"/>
      <w:bCs w:val="0"/>
      <w:i w:val="0"/>
      <w:iCs w:val="0"/>
      <w:smallCaps w:val="0"/>
      <w:strike w:val="0"/>
      <w:sz w:val="13"/>
      <w:szCs w:val="13"/>
      <w:u w:val="none"/>
    </w:rPr>
  </w:style>
  <w:style w:type="character" w:customStyle="1" w:styleId="CharStyle6">
    <w:name w:val="Основной текст (2)_"/>
    <w:basedOn w:val="DefaultParagraphFont"/>
    <w:link w:val="Style5"/>
    <w:rPr>
      <w:rFonts w:ascii="Arial" w:eastAsia="Arial" w:hAnsi="Arial" w:cs="Arial"/>
      <w:b w:val="0"/>
      <w:bCs w:val="0"/>
      <w:i w:val="0"/>
      <w:iCs w:val="0"/>
      <w:smallCaps w:val="0"/>
      <w:strike w:val="0"/>
      <w:sz w:val="12"/>
      <w:szCs w:val="12"/>
      <w:u w:val="none"/>
    </w:rPr>
  </w:style>
  <w:style w:type="character" w:customStyle="1" w:styleId="CharStyle9">
    <w:name w:val="Заголовок №1_"/>
    <w:basedOn w:val="DefaultParagraphFont"/>
    <w:link w:val="Style8"/>
    <w:rPr>
      <w:rFonts w:ascii="Arial" w:eastAsia="Arial" w:hAnsi="Arial" w:cs="Arial"/>
      <w:b w:val="0"/>
      <w:bCs w:val="0"/>
      <w:i/>
      <w:iCs/>
      <w:smallCaps w:val="0"/>
      <w:strike w:val="0"/>
      <w:sz w:val="30"/>
      <w:szCs w:val="30"/>
      <w:u w:val="none"/>
    </w:rPr>
  </w:style>
  <w:style w:type="character" w:customStyle="1" w:styleId="CharStyle11">
    <w:name w:val="Заголовок №2_"/>
    <w:basedOn w:val="DefaultParagraphFont"/>
    <w:link w:val="Style10"/>
    <w:rPr>
      <w:rFonts w:ascii="Times New Roman" w:eastAsia="Times New Roman" w:hAnsi="Times New Roman" w:cs="Times New Roman"/>
      <w:b/>
      <w:bCs/>
      <w:i w:val="0"/>
      <w:iCs w:val="0"/>
      <w:smallCaps w:val="0"/>
      <w:strike w:val="0"/>
      <w:sz w:val="16"/>
      <w:szCs w:val="16"/>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16"/>
      <w:szCs w:val="16"/>
      <w:u w:val="none"/>
    </w:rPr>
  </w:style>
  <w:style w:type="character" w:customStyle="1" w:styleId="CharStyle15">
    <w:name w:val="Колонтитул (2)_"/>
    <w:basedOn w:val="DefaultParagraphFont"/>
    <w:link w:val="Style14"/>
    <w:rPr>
      <w:rFonts w:ascii="Times New Roman" w:eastAsia="Times New Roman" w:hAnsi="Times New Roman" w:cs="Times New Roman"/>
      <w:b w:val="0"/>
      <w:bCs w:val="0"/>
      <w:i w:val="0"/>
      <w:iCs w:val="0"/>
      <w:smallCaps w:val="0"/>
      <w:strike w:val="0"/>
      <w:sz w:val="20"/>
      <w:szCs w:val="20"/>
      <w:u w:val="none"/>
    </w:rPr>
  </w:style>
  <w:style w:type="character" w:customStyle="1" w:styleId="CharStyle18">
    <w:name w:val="Подпись к картинке_"/>
    <w:basedOn w:val="DefaultParagraphFont"/>
    <w:link w:val="Style17"/>
    <w:rPr>
      <w:rFonts w:ascii="Times New Roman" w:eastAsia="Times New Roman" w:hAnsi="Times New Roman" w:cs="Times New Roman"/>
      <w:b w:val="0"/>
      <w:bCs w:val="0"/>
      <w:i w:val="0"/>
      <w:iCs w:val="0"/>
      <w:smallCaps w:val="0"/>
      <w:strike w:val="0"/>
      <w:sz w:val="16"/>
      <w:szCs w:val="16"/>
      <w:u w:val="none"/>
    </w:rPr>
  </w:style>
  <w:style w:type="character" w:customStyle="1" w:styleId="CharStyle20">
    <w:name w:val="Подпись к таблице_"/>
    <w:basedOn w:val="DefaultParagraphFont"/>
    <w:link w:val="Style19"/>
    <w:rPr>
      <w:rFonts w:ascii="Times New Roman" w:eastAsia="Times New Roman" w:hAnsi="Times New Roman" w:cs="Times New Roman"/>
      <w:b w:val="0"/>
      <w:bCs w:val="0"/>
      <w:i w:val="0"/>
      <w:iCs w:val="0"/>
      <w:smallCaps w:val="0"/>
      <w:strike w:val="0"/>
      <w:sz w:val="16"/>
      <w:szCs w:val="16"/>
      <w:u w:val="single"/>
    </w:rPr>
  </w:style>
  <w:style w:type="character" w:customStyle="1" w:styleId="CharStyle22">
    <w:name w:val="Другое_"/>
    <w:basedOn w:val="DefaultParagraphFont"/>
    <w:link w:val="Style21"/>
    <w:rPr>
      <w:rFonts w:ascii="Times New Roman" w:eastAsia="Times New Roman" w:hAnsi="Times New Roman" w:cs="Times New Roman"/>
      <w:b w:val="0"/>
      <w:bCs w:val="0"/>
      <w:i w:val="0"/>
      <w:iCs w:val="0"/>
      <w:smallCaps w:val="0"/>
      <w:strike w:val="0"/>
      <w:sz w:val="16"/>
      <w:szCs w:val="16"/>
      <w:u w:val="none"/>
    </w:rPr>
  </w:style>
  <w:style w:type="character" w:customStyle="1" w:styleId="CharStyle27">
    <w:name w:val="Основной текст (3)_"/>
    <w:basedOn w:val="DefaultParagraphFont"/>
    <w:link w:val="Style26"/>
    <w:rPr>
      <w:rFonts w:ascii="Times New Roman" w:eastAsia="Times New Roman" w:hAnsi="Times New Roman" w:cs="Times New Roman"/>
      <w:b w:val="0"/>
      <w:bCs w:val="0"/>
      <w:i/>
      <w:iCs/>
      <w:smallCaps w:val="0"/>
      <w:strike w:val="0"/>
      <w:sz w:val="10"/>
      <w:szCs w:val="10"/>
      <w:u w:val="none"/>
    </w:rPr>
  </w:style>
  <w:style w:type="paragraph" w:customStyle="1" w:styleId="Style2">
    <w:name w:val="Основной текст (4)"/>
    <w:basedOn w:val="Normal"/>
    <w:link w:val="CharStyle3"/>
    <w:pPr>
      <w:widowControl w:val="0"/>
      <w:shd w:val="clear" w:color="auto" w:fill="auto"/>
      <w:spacing w:line="223" w:lineRule="auto"/>
      <w:jc w:val="center"/>
    </w:pPr>
    <w:rPr>
      <w:rFonts w:ascii="Times New Roman" w:eastAsia="Times New Roman" w:hAnsi="Times New Roman" w:cs="Times New Roman"/>
      <w:b w:val="0"/>
      <w:bCs w:val="0"/>
      <w:i w:val="0"/>
      <w:iCs w:val="0"/>
      <w:smallCaps w:val="0"/>
      <w:strike w:val="0"/>
      <w:sz w:val="13"/>
      <w:szCs w:val="13"/>
      <w:u w:val="none"/>
    </w:rPr>
  </w:style>
  <w:style w:type="paragraph" w:customStyle="1" w:styleId="Style5">
    <w:name w:val="Основной текст (2)"/>
    <w:basedOn w:val="Normal"/>
    <w:link w:val="CharStyle6"/>
    <w:pPr>
      <w:widowControl w:val="0"/>
      <w:shd w:val="clear" w:color="auto" w:fill="auto"/>
      <w:spacing w:line="259" w:lineRule="auto"/>
      <w:jc w:val="center"/>
    </w:pPr>
    <w:rPr>
      <w:rFonts w:ascii="Arial" w:eastAsia="Arial" w:hAnsi="Arial" w:cs="Arial"/>
      <w:b w:val="0"/>
      <w:bCs w:val="0"/>
      <w:i w:val="0"/>
      <w:iCs w:val="0"/>
      <w:smallCaps w:val="0"/>
      <w:strike w:val="0"/>
      <w:sz w:val="12"/>
      <w:szCs w:val="12"/>
      <w:u w:val="none"/>
    </w:rPr>
  </w:style>
  <w:style w:type="paragraph" w:customStyle="1" w:styleId="Style8">
    <w:name w:val="Заголовок №1"/>
    <w:basedOn w:val="Normal"/>
    <w:link w:val="CharStyle9"/>
    <w:pPr>
      <w:widowControl w:val="0"/>
      <w:shd w:val="clear" w:color="auto" w:fill="auto"/>
      <w:spacing w:line="206" w:lineRule="auto"/>
      <w:ind w:firstLine="480"/>
      <w:outlineLvl w:val="0"/>
    </w:pPr>
    <w:rPr>
      <w:rFonts w:ascii="Arial" w:eastAsia="Arial" w:hAnsi="Arial" w:cs="Arial"/>
      <w:b w:val="0"/>
      <w:bCs w:val="0"/>
      <w:i/>
      <w:iCs/>
      <w:smallCaps w:val="0"/>
      <w:strike w:val="0"/>
      <w:sz w:val="30"/>
      <w:szCs w:val="30"/>
      <w:u w:val="none"/>
    </w:rPr>
  </w:style>
  <w:style w:type="paragraph" w:customStyle="1" w:styleId="Style10">
    <w:name w:val="Заголовок №2"/>
    <w:basedOn w:val="Normal"/>
    <w:link w:val="CharStyle11"/>
    <w:pPr>
      <w:widowControl w:val="0"/>
      <w:shd w:val="clear" w:color="auto" w:fill="auto"/>
      <w:outlineLvl w:val="1"/>
    </w:pPr>
    <w:rPr>
      <w:rFonts w:ascii="Times New Roman" w:eastAsia="Times New Roman" w:hAnsi="Times New Roman" w:cs="Times New Roman"/>
      <w:b/>
      <w:bCs/>
      <w:i w:val="0"/>
      <w:iCs w:val="0"/>
      <w:smallCaps w:val="0"/>
      <w:strike w:val="0"/>
      <w:sz w:val="16"/>
      <w:szCs w:val="16"/>
      <w:u w:val="non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sz w:val="16"/>
      <w:szCs w:val="16"/>
      <w:u w:val="none"/>
    </w:rPr>
  </w:style>
  <w:style w:type="paragraph" w:customStyle="1" w:styleId="Style14">
    <w:name w:val="Колонтитул (2)"/>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7">
    <w:name w:val="Подпись к картинке"/>
    <w:basedOn w:val="Normal"/>
    <w:link w:val="CharStyle18"/>
    <w:pPr>
      <w:widowControl w:val="0"/>
      <w:shd w:val="clear" w:color="auto" w:fill="auto"/>
      <w:spacing w:after="360"/>
    </w:pPr>
    <w:rPr>
      <w:rFonts w:ascii="Times New Roman" w:eastAsia="Times New Roman" w:hAnsi="Times New Roman" w:cs="Times New Roman"/>
      <w:b w:val="0"/>
      <w:bCs w:val="0"/>
      <w:i w:val="0"/>
      <w:iCs w:val="0"/>
      <w:smallCaps w:val="0"/>
      <w:strike w:val="0"/>
      <w:sz w:val="16"/>
      <w:szCs w:val="16"/>
      <w:u w:val="none"/>
    </w:rPr>
  </w:style>
  <w:style w:type="paragraph" w:customStyle="1" w:styleId="Style19">
    <w:name w:val="Подпись к таблице"/>
    <w:basedOn w:val="Normal"/>
    <w:link w:val="CharStyle20"/>
    <w:pPr>
      <w:widowControl w:val="0"/>
      <w:shd w:val="clear" w:color="auto" w:fill="auto"/>
      <w:ind w:left="500" w:hanging="250"/>
    </w:pPr>
    <w:rPr>
      <w:rFonts w:ascii="Times New Roman" w:eastAsia="Times New Roman" w:hAnsi="Times New Roman" w:cs="Times New Roman"/>
      <w:b w:val="0"/>
      <w:bCs w:val="0"/>
      <w:i w:val="0"/>
      <w:iCs w:val="0"/>
      <w:smallCaps w:val="0"/>
      <w:strike w:val="0"/>
      <w:sz w:val="16"/>
      <w:szCs w:val="16"/>
      <w:u w:val="single"/>
    </w:rPr>
  </w:style>
  <w:style w:type="paragraph" w:customStyle="1" w:styleId="Style21">
    <w:name w:val="Другое"/>
    <w:basedOn w:val="Normal"/>
    <w:link w:val="CharStyle22"/>
    <w:pPr>
      <w:widowControl w:val="0"/>
      <w:shd w:val="clear" w:color="auto" w:fill="auto"/>
      <w:ind w:firstLine="400"/>
    </w:pPr>
    <w:rPr>
      <w:rFonts w:ascii="Times New Roman" w:eastAsia="Times New Roman" w:hAnsi="Times New Roman" w:cs="Times New Roman"/>
      <w:b w:val="0"/>
      <w:bCs w:val="0"/>
      <w:i w:val="0"/>
      <w:iCs w:val="0"/>
      <w:smallCaps w:val="0"/>
      <w:strike w:val="0"/>
      <w:sz w:val="16"/>
      <w:szCs w:val="16"/>
      <w:u w:val="none"/>
    </w:rPr>
  </w:style>
  <w:style w:type="paragraph" w:customStyle="1" w:styleId="Style26">
    <w:name w:val="Основной текст (3)"/>
    <w:basedOn w:val="Normal"/>
    <w:link w:val="CharStyle27"/>
    <w:pPr>
      <w:widowControl w:val="0"/>
      <w:shd w:val="clear" w:color="auto" w:fill="auto"/>
      <w:spacing w:line="262" w:lineRule="auto"/>
      <w:ind w:firstLine="500"/>
    </w:pPr>
    <w:rPr>
      <w:rFonts w:ascii="Times New Roman" w:eastAsia="Times New Roman" w:hAnsi="Times New Roman" w:cs="Times New Roman"/>
      <w:b w:val="0"/>
      <w:bCs w:val="0"/>
      <w:i/>
      <w:iCs/>
      <w:smallCaps w:val="0"/>
      <w:strike w:val="0"/>
      <w:sz w:val="10"/>
      <w:szCs w:val="1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image" Target="media/image1.png" TargetMode="External"/></Relationships>
</file>