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«НАЦИОНАЛЬНЫЙ ПАРК «ЛОСИНЫЙ ОСТРОВ»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е.ри1кта@е1И§1апд.ги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634" w:bottom="1063" w:left="1140" w:header="0" w:footer="635" w:gutter="0"/>
          <w:pgNumType w:start="1"/>
          <w:cols w:num="2" w:space="66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^р.xаЫ^xЪоп@дта^^сот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0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№077/06/106-НУ-3/2023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ФГБУ «НАЦИОНАЛЬНЫЙ ПАРК «ЛОСИНЫЙ ОСТРОВ»,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ТОЖИБАЕВ З.П., уведомленных надлежащим образом о времени и порядке заседания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З.П. (далее — Заявитель) на действия ФГБУ «НАЦИОНАЛЬНЫЙ ПАРК «ЛОСИНЫЙ ОСТРОВ» (далее — Заказчик) при проведении открытого конкурса в электронной форме на право заключения государственного контракта на обустройство административно</w:t>
        <w:softHyphen/>
        <w:t>хозяйственной зоны Лосиноостровского лесопарка (кв.№8) и Яузского лесопарка (кв.№ 47) Национального парка «Лосиный остров» (Закупка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№0373100053723000006)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представлены, запрашиваемые письмом Московского УФАС России,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закупок показателю «Наличие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конкурсной документацией оценка заявок производится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извещению о проведении открытого конкурса в электронной форме от 11.04.2023 №0373100053723000006 предметом закупки является обустройство административно-хозяйственной зоны Лосиноостровского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лесопарка (кв.№8) и Яузского лесопарка (кв.№ 47) Национального парка «Лосиный остров».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установлено следующее положение порядка оценки заявок по показателю «Наличие опыта поставки товара, выполнения работы, оказания услуги, связанного с предметом контракта»: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документам для оценки показателя: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Предмет договора, принимаемого к оценке, сопоставимый с предметом контракта, заключаемого по результатам определения поставщика (подрядчика, исполнителя) является: выполнение участником работ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 разработке дизайн-проекта,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устройству малых архитектурных форм, а также выполнение работ согласно сметному расчету к конкурсной документации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установленные в порядке оценки контракты на разработку дизайн проекта не могут являться сопоставимыми с предметом заключаемого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представители Заказчика указал, что вышеуказанный порядок оценки не противоречит условиям Положения. При этом в рамках закупочной процедуры также осуществляется разработка дизайн- проекта по установке и расположению МАФ, ввиду чего помимо работ по устройству малых архитектурных форм, а также работ согласно сметному расчету к конкурсной документации Заказчиком также учитываются работы по разработке дизайн-проекта.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Комиссия Управления отмечает, исходя из обжалуемого порядка оценки, участник закупочной процедуры должен обладать в том числе опытом по разработке дизайн-проекта, при этом такой опыт должен быть представлен наряду с работами по устройству малых архитектурных форм, а также выполнение работ согласно сметному расчету к конкурсной документации, т. е. в случае отсутствия в составе опыта работ в соответствии со сметой опыта по разработке дизайн-проекта такой контракт не будет учитываться при рассмотрении заявок, что очевидно существенно сужает круг участников закупочной процедуры, поскольку отсутствие указанных работ не свидетельствует об отсутствии у участника закупочной процедуры опыта выполнения работ сопоставимых с предметом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таких данных Комиссия Управления приходит к выводу о нарушении ч.8 ст.32, п.11 ч.1 ст.42 Закона о контрактной системе при установлении подобным образом положений порядка оценки по показателю «Наличие опыта поставки товара, выполнения работы, оказания услуги, связанного с предметом контракта», поскольку такой порядок оценки нарушает принципы законодательства о контрактной системе и препятствует выявлению лучших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условий исполнения контракта,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соответствии с протоколом подведения итогов определения поставщика (подрядчика, исполнителя) от 02.05.2023 №ИЭОК1 на участие в закупочной процедуре подано 2 заявки, при этом по результатам рассмотрения вторых частей конкурс признан несостоявшимся, поскольку требованиям закупочной документации соответствует единственная заявка, что свидетельствует о том обстоятельстве, что обжалуемый порядок оценки в рассматриваемой закупке не применялся.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 З.П. на действия ФГБУ «НАЦИОНАЛЬНЫЙ ПАРК «ЛОСИНЫЙ ОСТРОВ»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ч.8 ст.32, п.11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не выдавать, так как выявленные нарушения не повлияли на результат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6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5674360</wp:posOffset>
                </wp:positionH>
                <wp:positionV relativeFrom="paragraph">
                  <wp:posOffset>12700</wp:posOffset>
                </wp:positionV>
                <wp:extent cx="1182370" cy="252730"/>
                <wp:wrapSquare wrapText="bothSides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46.80000000000001pt;margin-top:1.pt;width:93.10000000000000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0" w:right="1097" w:bottom="1042" w:left="1092" w:header="0" w:footer="61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