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after="685" w:line="1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1842135</wp:posOffset>
            </wp:positionH>
            <wp:positionV relativeFrom="margin">
              <wp:posOffset>0</wp:posOffset>
            </wp:positionV>
            <wp:extent cx="402590" cy="43878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02590" cy="4387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headerReference w:type="default" r:id="rId7"/>
          <w:head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390" w:right="536" w:bottom="1433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е-тай: 1о77@Га8.еоу.ш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21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«ИНЖЕНЕРНО</w:t>
        <w:softHyphen/>
        <w:t>КОНСАЛТИНГОВЫЙ ЦЕНТР ЭКСПЕРТСТРОЙ»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21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^ксеxре^^8^^оу@уап^еx.^и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20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«ТЕХНИЧЕСКИЙ ЦЕНТР ДЕПАРТАМЕНТА КУЛЬТУРЫ ГОРОДА МОСКВЫ»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90" w:right="1645" w:bottom="1433" w:left="1140" w:header="0" w:footer="3" w:gutter="0"/>
          <w:cols w:num="2" w:space="1177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хакирИ@сикиге.то8.ги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8" w:after="5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47" w:right="0" w:bottom="99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tabs>
          <w:tab w:pos="8947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№077/06/106-АК4/2023 о нарушении</w:t>
        <w:br/>
        <w:t>законодательства о контрактной системе</w:t>
        <w:br/>
        <w:t>03.05.2023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— заместителя начальника отдела обжалования государственных закупок К.А. Сомова,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Кутейникова,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Е.Д. Мартьяновой,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 в целях исполнения Указа Мэра Москвы от 25.09.2020 № 92-УМ «О внесении изменений в правовые акты города Москвы» и предупреждения распространения в городе Москве инфекции, вызванной коронавирусом 2019-пСоУ,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«ИНЖЕНЕРНО-КОНСАЛТИНГОВЫЙ ЦЕНТР ЭКСПЕРТСТРОЙ»: Леонской О.В. (по доверенности от 20.04.2023 №б/н),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«ТЕХНИЧЕСКИЙ ЦЕНТР ДЕПАРТАМЕНТА КУЛЬТУРЫ ГОРОДА МОСКВЫ»: Мавриной К.Ю. (по доверенности от 09.01.2023 №ТЦ-15-4/23),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слушателя: Кудряшевой Е.В.,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рассмотрев жалобу ООО «ИНЖЕНЕРНО-КОНСАЛТИНГОВЫЙ ЦЕНТР ЭКСПЕРТСТРОЙ» (далее — Заявитель) на действия ГКУ «ТЕХНИЧЕСКИЙ ЦЕНТР ДЕПАРТАМЕНТА КУЛЬТУРЫ ГОРОДА МОСКВЫ» (далее — Заказчик) при проведении открытого конкурса в электронной форме на право заключения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государственного контракта на разработку проектно-сметной документации по восстановлению работоспособности комплексных систем безопасности в учреждениях культуры, подведомственных Департаменту культуры города Москвы (согласно адресному перечню, приложение № 1 к Техническому заданию) (Закупка № 0373200138223000125) (далее — Конкурс)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  <w:bookmarkEnd w:id="2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конкурса.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Заказчика, выразившиеся в установлении неправомерного порядка оценки заявок участников закупки по детализирующему показателю «общая цена исполненных участником закупки договоров» показателя «Наличие у участников закупки опыта поставки товара, выполнения работы, оказания услуги, связанного с предметом контракта» нестоимостного критерия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 (договора), и деловой репутации, специалистов и иных работников определенного уровня квалификации».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Ч.1 ст.32 Закона о контрактной системе установлено, что для оценки заявок, окончательных предложений участников закупки Заказчик в документации о закупке устанавливает следующие критерии: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цена контракта;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расходы на эксплуатацию и ремонт товаров, использование результатов работ;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качественные, функциональные и экологические характеристики объекта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п.11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критерии оценки заявок на участие в конкурсах, величины значимости этих критериев в соответствии с Законом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ч.8 ст.32 Закона о контрактной системе порядок оценки заявок, окончательных предложений участников закупки, в том числе предельные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величины значимости каждого критерия, устанавливается Правительством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извещением об осуществлении закупки оценка заявок производится в соответствии с Положением об оценке заявок на участие в закупке товаров, работ, услуг для обеспечения государственных и муниципальных нужд, утвержденного Постановлением Правительства РФ от 31.12.2021 №2604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Российской Федерации» (далее — Положение).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п.2 Положения «оценка заявок» - действия членов комиссии по осуществлению закупок по присвоению в случаях, предусмотренных Федеральным законом, и в соответствии с настоящим Положением баллов заявкам (частям заявок) на основании информации и документов участников закупок.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п.24 Положения для оценки заявок по критерию оценки «квалификация участников закупки» могут применяться, если иное не предусмотрено настоящим Положением, один или несколько из следующих показателей оценки: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финансовых ресурсов;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на праве собственности или ином законном основании оборудования и других материальных ресурсов;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опыта поставки товара, выполнения работы, оказания услуги, связанного с предметом контракта;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деловой репутации;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специалистов и иных работников определенного уровня квалификации.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 «а» п.28 Положения для оценки заявок по показателям оценки, в случае применения показателя оценки, предусмотренного подпунктом «в» пункта 24 Положения применяются один или несколько из следующих детализирующих показателей оценки: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7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щая цена исполненных участником закупки договоров;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7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щее количество исполненных участником закупки договоров;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наибольшая цена одного из исполненных участником закупки договоров.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обращает внимание, что установление показателей, раскрывающих содержание нестоимостных критериев оценки и учитывающих особенности оценки закупаемых товаров, работ, услуг по таким критериям является правом Заказчика, но такое установление не должно быть произвольным или направленным на создание неравных условий для участников закупки. В связи с этим прерогатива определить перечень показателей, их содержание и наполняемость, перечень документов, предоставляемых в составе заявки по показателям, принадлежит Заказчику. При этом главным правилом в таком случае выступает условие об отсутствии противоречий основным нормативным правовым актам Российской Федерации, регламентирующих рассмотрение и оценку заявок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заседании Комиссии Управления определено, что согласно извещению 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проведении открытого конкурса в электронной форме от 12.04.2023 №0373200138223000125 Заказчиком установлен, в том числе, следующий порядок оценки заявок по детализирующему показателю «общая цена исполненных участником закупки договоров»: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«Оценивается предложение участника об общей цене исполненных участником закупки контрактов (договоров) за последние 5 лет, предшествующие дате окончания срока подачи заявок на участие в настоящем конкурсе (оценивается суммарный объем выполненных работ, исчисляемый в рублях, связанных с предметом контракта, на право заключить который проводится закупка).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Под работами, связанными с предметом контракта, понимаются по разработке проектно-сметной документации по восстановлению работоспособности комплексных систем безопасности.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Последний акт, составленный при исполнении контракта (договора) и предусмотренный абзацем третьим подпункта «в» пункта 28 Положения, должен быть подписан не ранее чем за 5 лет до даты окончания срока подачи заявок.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законом, при исполнении которых поставщиком (подрядчиком, исполнителем) исполнены требования об уплате неустоек (штрафов, пеней) (в случае начисления неустоек).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 участника по выполнению работ, связанных с предметом контракта, подтверждается следующими документами, направленными в форме электронных документов или в форме электронных образов бумажных документов: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84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исполненный договор;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84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акт выполненных работ, подтверждающий цену выполненных работ;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39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положительное заключение экспертизы проектной документации и (или) результатов инженерных изысканий (за исключением случаев, при которых такое заключение не выдается в соответствии с законодательством о градостроительной деятельности).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 оценке принимаются подтверждающие документы в случае их представления в заявке в полном объеме и со всеми приложениями. Допускается принятие к оценке документов, в случае если к ним не приложена проектная документация (если проектная документация является приложением к таким документам).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представленные документы должны быть в виде неповторяющихся, полно читаемых копий, на которых видны необходимые сведения, подписи и печати.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документов. При проведении закрытого конкурса направляются документы или заверенные участником закупки их копии.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случае если контракты заключены в электронной форме, опыт может быть подтвержден размещенными на сайте Единой информационной системы в сфере закупок /акиркгдоу.ги «Информацией о заключенном контракте (его изменении)» и «Информацией об исполнении (о расторжении) контракта» при условии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предоставления в составе заявки формы «Сводные сведения о наличии у участника закупки опыта по выполнению работ, связанных с предметом контракта», содержащей данные о реестровом номере закупки, номере контракта, дате заключения, предмете, сумме контракта, дате исполнения контракта.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Рекомендуемая форма «Сводные сведения о наличии у участника закупки опыта по выполнению работ, связанных с предметом контракта» приведена в Приложении 1 к настоящим критериям оценки заявок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Непредоставление в составе заявки на участие в конкурсе таких документов не является основанием для отказа в допуске к участию в открытом конкурсе, однако при оценке заявок по настоящему показателю комиссией будут учитываться сведения, заявленные участниками закупки, которые подтверждены документально в составе заявки на участие в конкурсе либо информацией, размещенной на сайте Единой информационной системы в сфере закупок /а1&lt;ир1&lt;1.до\'.П1.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установленный порядок оценки не соответствуют характеристикам выполняемых работ по техническому заданию, отраженным в п.2.2, согласно которому: «Основной целью проведения работ является разработка проектной и рабочей документации в один этап на монтаж оборудования систем автоматической пожарной сигнализации (АПС), системы оповещения и управления эвакуацией людей при пожаре (СОУЭ), охранной сигнализации (СОС), контроля и управления доступом (СКУД), охранного телевидения (СОТ) в Учреждениях, подведомственных Департаменту культуры города Москвы (согласно адресному перечню, приложение № 1 к Техническому заданию)», что приводит к ограничению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в соответствии с положениями ГОСТ Р 53704-2009 «Системы безопасности комплексные и интегрированные. Общие технические требования» под системой безопасности комплексной понимается проектируемая для конкретного объекта специализированная сложная организационно-техническая открытая (допускающая последующее расширение структуры и функций) система, состоящая из алгоритмически объединенных (интегрированных) целевых функционально самостоятельных технических подсистем и технических средств, предназначенных для комплексной защиты объекта от нормированных угроз различной природы возникновения и характера проявления.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 комплексной системы безопасности должны входить следующие технические подсистемы: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7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дежурно-диспетчерская;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7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производственно-технологического контроля;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7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охранной и тревожной сигнализации;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7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пожарной сигнализации;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7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контроля и управления доступом;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7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теле/видеонаблюдения и контроля;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7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досмотра и поиска;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5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пожарной автоматики (пожаротушения, противодымной защиты, оповещения, эвакуации);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9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связи с объектом;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9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защиты информации;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9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инженерно-технических средств физической защиты;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9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инженерного обеспечения объекта: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электроосвещения и электропитания;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9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газоснабжения;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9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водоснабжения;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9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канализации;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поддержания микроклимата (теплоснабжение, вентиляция, кондиционирование).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Как пояснил представитель Заказчика, установленный порядок оценки предусматривает оценку опыта выполненных работ по разработке проектно</w:t>
        <w:softHyphen/>
        <w:t>сметной документации в отношении монтажа/восстановления как комплексных систем безопасности, так и отдельных элементов.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отмечает, что указание Заказчиком на обобщающее название «комплексная система безопасности» не свидетельствует о том, что Заказчиком не будет учитываться опыт, связанный, например, с разработкой проектно-сметной документации по монтажу исключительно охранной сигнализации (СОС) или системой автоматической пожарной сигнализации (АПС).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Таком образом, Комиссия Управления приходит к выводу о том, что установленный порядок оценки в части сопоставимого характера оцениваемых работ является равнозначным сведениям, отраженным в п.2.2 технического задания, поскольку предусматривает оценку, в том числе, выполненных работ по разработке проектно-сметной документации на монтаж отдельных элементов комплексной системы безопасности.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ч.4 ст.106 Закона о контрактной системе обязанность доказывания нарушения Заказчиком своих прав и законных интересов лежит на подателе жалобы, вместе с тем в составе жалобы Заявителем не представлено документов и сведений, свидетельствующих о нарушении Заказчиком норм действующего законодательства о контрактной системе, в частности не представлена информация, подтверждающая, что права и интересы Заявителя нарушены действиями Заказчика по причине установления вышеуказанного порядка оценки, ввиду чего у Комиссии Управления отсутствуют правовые основания для признания Заказчика нарушившим требования Положения,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таких данных Комиссия Управления приходит к выводу о том, что довод жалобы не нашел своего подтверждения и является необоснованным.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1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.Признать жалобу ООО «ИНЖЕНЕРНО-КОНСАЛТИНГОВЫЙ ЦЕНТР ЭКСПЕРТСТРОЙ» на действия ГКУ «ТЕХНИЧЕСКИЙ ЦЕНТР ДЕПАРТАМЕНТА КУЛЬТУРЫ ГОРОДА МОСКВЫ» необоснованной.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40" w:val="left"/>
        </w:tabs>
        <w:bidi w:val="0"/>
        <w:spacing w:before="0" w:after="22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.Снять ограничения на определение поставщика (подрядчика, исполнителя), наложенные письмом Московского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699135</wp:posOffset>
                </wp:positionH>
                <wp:positionV relativeFrom="paragraph">
                  <wp:posOffset>12700</wp:posOffset>
                </wp:positionV>
                <wp:extent cx="1859280" cy="603250"/>
                <wp:wrapSquare wrapText="bothSides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9280" cy="603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5.050000000000004pt;margin-top:1.pt;width:146.40000000000001pt;height:47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К.А. Сомов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Кутейников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9080" w:line="240" w:lineRule="auto"/>
        <w:ind w:left="81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Е.Д.Мартьянова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Исп.Кутейников А.А.тел.8(495)784-75-05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47" w:right="538" w:bottom="990" w:left="1094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3922395</wp:posOffset>
              </wp:positionH>
              <wp:positionV relativeFrom="page">
                <wp:posOffset>469265</wp:posOffset>
              </wp:positionV>
              <wp:extent cx="6731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8.85000000000002pt;margin-top:36.950000000000003pt;width:5.29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160A9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9">
    <w:name w:val="Заголовок №1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2">
    <w:name w:val="Колонтитул (2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6">
    <w:name w:val="Основной текст (3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160A9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8">
    <w:name w:val="Заголовок №1"/>
    <w:basedOn w:val="Normal"/>
    <w:link w:val="CharStyle9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1">
    <w:name w:val="Колонтитул (2)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5">
    <w:name w:val="Основной текст (3)"/>
    <w:basedOn w:val="Normal"/>
    <w:link w:val="CharStyle16"/>
    <w:pPr>
      <w:widowControl w:val="0"/>
      <w:shd w:val="clear" w:color="auto" w:fill="auto"/>
      <w:spacing w:after="2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